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ayoutGrid"/>
        <w:tblW w:w="0" w:type="auto"/>
        <w:tblLook w:val="04A0" w:firstRow="1" w:lastRow="0" w:firstColumn="1" w:lastColumn="0" w:noHBand="0" w:noVBand="1"/>
        <w:tblCaption w:val="Cover Title and Subtitle placeholder grid"/>
      </w:tblPr>
      <w:tblGrid>
        <w:gridCol w:w="10204"/>
      </w:tblGrid>
      <w:tr w:rsidR="00CF46F2" w:rsidTr="00915367">
        <w:trPr>
          <w:trHeight w:hRule="exact" w:val="2240"/>
          <w:tblHeader/>
        </w:trPr>
        <w:tc>
          <w:tcPr>
            <w:tcW w:w="10308" w:type="dxa"/>
          </w:tcPr>
          <w:p w:rsidR="00CF46F2" w:rsidRDefault="00CF46F2">
            <w:bookmarkStart w:id="0" w:name="_GoBack"/>
            <w:bookmarkEnd w:id="0"/>
          </w:p>
        </w:tc>
      </w:tr>
      <w:tr w:rsidR="00CF46F2" w:rsidTr="00CF46F2">
        <w:tc>
          <w:tcPr>
            <w:tcW w:w="10308" w:type="dxa"/>
          </w:tcPr>
          <w:p w:rsidR="00CF46F2" w:rsidRDefault="00CF46F2" w:rsidP="00CF46F2">
            <w:pPr>
              <w:pStyle w:val="CoverHeading"/>
            </w:pPr>
            <w:r>
              <w:t xml:space="preserve">On the road to a </w:t>
            </w:r>
          </w:p>
          <w:p w:rsidR="00CF46F2" w:rsidRDefault="00CF46F2" w:rsidP="00CF46F2">
            <w:pPr>
              <w:pStyle w:val="CoverHeading"/>
            </w:pPr>
            <w:r>
              <w:t>better CTP scheme</w:t>
            </w:r>
          </w:p>
          <w:p w:rsidR="00CF46F2" w:rsidRDefault="00CF46F2" w:rsidP="00CF46F2">
            <w:pPr>
              <w:pStyle w:val="CoverSubheading"/>
            </w:pPr>
            <w:r>
              <w:t xml:space="preserve">Options for reforming Green Slip </w:t>
            </w:r>
          </w:p>
          <w:p w:rsidR="00CF46F2" w:rsidRDefault="00CF46F2" w:rsidP="00CF46F2">
            <w:pPr>
              <w:pStyle w:val="CoverSubheading"/>
            </w:pPr>
            <w:r>
              <w:t>insurance in NSW</w:t>
            </w:r>
          </w:p>
        </w:tc>
      </w:tr>
    </w:tbl>
    <w:p w:rsidR="00CB0D24" w:rsidRDefault="00CB0D24"/>
    <w:p w:rsidR="009B616F" w:rsidRDefault="009B616F"/>
    <w:p w:rsidR="00D45FA1" w:rsidRDefault="00D45FA1">
      <w:pPr>
        <w:sectPr w:rsidR="00D45FA1" w:rsidSect="00CF46F2">
          <w:headerReference w:type="default" r:id="rId9"/>
          <w:headerReference w:type="first" r:id="rId10"/>
          <w:pgSz w:w="11906" w:h="16838" w:code="9"/>
          <w:pgMar w:top="1106" w:right="851" w:bottom="1440" w:left="851" w:header="454" w:footer="0" w:gutter="0"/>
          <w:cols w:space="708"/>
          <w:titlePg/>
          <w:docGrid w:linePitch="360"/>
        </w:sectPr>
      </w:pPr>
    </w:p>
    <w:p w:rsidR="00A43A40" w:rsidRDefault="00595144" w:rsidP="008D34D0">
      <w:pPr>
        <w:pStyle w:val="TOCHeading"/>
        <w:framePr w:wrap="around"/>
      </w:pPr>
      <w:r w:rsidRPr="00CF7BCD">
        <w:lastRenderedPageBreak/>
        <w:t>C</w:t>
      </w:r>
      <w:r w:rsidR="00A43A40" w:rsidRPr="00CF7BCD">
        <w:t>ontents</w:t>
      </w:r>
    </w:p>
    <w:bookmarkStart w:id="1" w:name="StartTOC"/>
    <w:bookmarkEnd w:id="1"/>
    <w:p w:rsidR="004F70AB" w:rsidRDefault="00B3081C" w:rsidP="00E00EF9">
      <w:pPr>
        <w:pStyle w:val="TOC1"/>
        <w:rPr>
          <w:rFonts w:eastAsiaTheme="minorEastAsia" w:cstheme="minorBidi"/>
          <w:color w:val="auto"/>
          <w:sz w:val="22"/>
          <w:szCs w:val="22"/>
          <w:lang w:eastAsia="en-AU"/>
        </w:rPr>
      </w:pPr>
      <w:r>
        <w:fldChar w:fldCharType="begin"/>
      </w:r>
      <w:r>
        <w:instrText xml:space="preserve"> TOC \t "Heading 1,2,Section Heading,1,Heading 1 - Numbered,2" </w:instrText>
      </w:r>
      <w:r>
        <w:fldChar w:fldCharType="separate"/>
      </w:r>
      <w:r w:rsidR="004F70AB">
        <w:t>Minister’s foreword</w:t>
      </w:r>
      <w:r w:rsidR="004F70AB">
        <w:tab/>
      </w:r>
      <w:r w:rsidR="004F70AB">
        <w:fldChar w:fldCharType="begin"/>
      </w:r>
      <w:r w:rsidR="004F70AB">
        <w:instrText xml:space="preserve"> PAGEREF _Toc448404721 \h </w:instrText>
      </w:r>
      <w:r w:rsidR="004F70AB">
        <w:fldChar w:fldCharType="separate"/>
      </w:r>
      <w:r w:rsidR="00E00EF9">
        <w:t>3</w:t>
      </w:r>
      <w:r w:rsidR="004F70AB">
        <w:fldChar w:fldCharType="end"/>
      </w:r>
    </w:p>
    <w:p w:rsidR="004F70AB" w:rsidRDefault="004F70AB" w:rsidP="00E00EF9">
      <w:pPr>
        <w:pStyle w:val="TOC1"/>
        <w:rPr>
          <w:rFonts w:eastAsiaTheme="minorEastAsia" w:cstheme="minorBidi"/>
          <w:color w:val="auto"/>
          <w:sz w:val="22"/>
          <w:szCs w:val="22"/>
          <w:lang w:eastAsia="en-AU"/>
        </w:rPr>
      </w:pPr>
      <w:r>
        <w:t>The NSW Motor Accidents Compulsory Third Party (CTP) Scheme</w:t>
      </w:r>
      <w:r>
        <w:tab/>
      </w:r>
      <w:r>
        <w:fldChar w:fldCharType="begin"/>
      </w:r>
      <w:r>
        <w:instrText xml:space="preserve"> PAGEREF _Toc448404722 \h </w:instrText>
      </w:r>
      <w:r>
        <w:fldChar w:fldCharType="separate"/>
      </w:r>
      <w:r w:rsidR="00E00EF9">
        <w:t>4</w:t>
      </w:r>
      <w:r>
        <w:fldChar w:fldCharType="end"/>
      </w:r>
    </w:p>
    <w:p w:rsidR="004F70AB" w:rsidRDefault="004F70AB" w:rsidP="00674D57">
      <w:pPr>
        <w:pStyle w:val="TOC1"/>
        <w:rPr>
          <w:rFonts w:eastAsiaTheme="minorEastAsia" w:cstheme="minorBidi"/>
          <w:color w:val="auto"/>
          <w:sz w:val="22"/>
          <w:szCs w:val="22"/>
          <w:lang w:eastAsia="en-AU"/>
        </w:rPr>
      </w:pPr>
      <w:r>
        <w:t>What should an effective  CTP scheme deliver?</w:t>
      </w:r>
      <w:r>
        <w:tab/>
      </w:r>
      <w:r>
        <w:fldChar w:fldCharType="begin"/>
      </w:r>
      <w:r>
        <w:instrText xml:space="preserve"> PAGEREF _Toc448404723 \h </w:instrText>
      </w:r>
      <w:r>
        <w:fldChar w:fldCharType="separate"/>
      </w:r>
      <w:r w:rsidR="00E00EF9">
        <w:t>5</w:t>
      </w:r>
      <w:r>
        <w:fldChar w:fldCharType="end"/>
      </w:r>
    </w:p>
    <w:p w:rsidR="004F70AB" w:rsidRDefault="004F70AB" w:rsidP="00E00EF9">
      <w:pPr>
        <w:pStyle w:val="TOC1"/>
        <w:rPr>
          <w:rFonts w:eastAsiaTheme="minorEastAsia" w:cstheme="minorBidi"/>
          <w:color w:val="auto"/>
          <w:sz w:val="22"/>
          <w:szCs w:val="22"/>
          <w:lang w:eastAsia="en-AU"/>
        </w:rPr>
      </w:pPr>
      <w:r>
        <w:t>How is the current CTP scheme performing against these objectives?</w:t>
      </w:r>
      <w:r>
        <w:tab/>
      </w:r>
      <w:r>
        <w:fldChar w:fldCharType="begin"/>
      </w:r>
      <w:r>
        <w:instrText xml:space="preserve"> PAGEREF _Toc448404724 \h </w:instrText>
      </w:r>
      <w:r>
        <w:fldChar w:fldCharType="separate"/>
      </w:r>
      <w:r w:rsidR="00E00EF9">
        <w:t>6</w:t>
      </w:r>
      <w:r>
        <w:fldChar w:fldCharType="end"/>
      </w:r>
    </w:p>
    <w:p w:rsidR="004F70AB" w:rsidRDefault="004F70AB">
      <w:pPr>
        <w:pStyle w:val="TOC2"/>
        <w:rPr>
          <w:rFonts w:eastAsiaTheme="minorEastAsia" w:cstheme="minorBidi"/>
          <w:noProof/>
          <w:color w:val="auto"/>
          <w:sz w:val="22"/>
          <w:szCs w:val="22"/>
          <w:lang w:eastAsia="en-AU"/>
        </w:rPr>
      </w:pPr>
      <w:r>
        <w:rPr>
          <w:noProof/>
        </w:rPr>
        <w:t>Proportion of benefits</w:t>
      </w:r>
      <w:r>
        <w:rPr>
          <w:noProof/>
        </w:rPr>
        <w:tab/>
      </w:r>
      <w:r>
        <w:rPr>
          <w:noProof/>
        </w:rPr>
        <w:fldChar w:fldCharType="begin"/>
      </w:r>
      <w:r>
        <w:rPr>
          <w:noProof/>
        </w:rPr>
        <w:instrText xml:space="preserve"> PAGEREF _Toc448404725 \h </w:instrText>
      </w:r>
      <w:r>
        <w:rPr>
          <w:noProof/>
        </w:rPr>
      </w:r>
      <w:r>
        <w:rPr>
          <w:noProof/>
        </w:rPr>
        <w:fldChar w:fldCharType="separate"/>
      </w:r>
      <w:r w:rsidR="00E00EF9">
        <w:rPr>
          <w:noProof/>
        </w:rPr>
        <w:t>6</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t>Timeliness of payments</w:t>
      </w:r>
      <w:r>
        <w:rPr>
          <w:noProof/>
        </w:rPr>
        <w:tab/>
      </w:r>
      <w:r>
        <w:rPr>
          <w:noProof/>
        </w:rPr>
        <w:fldChar w:fldCharType="begin"/>
      </w:r>
      <w:r>
        <w:rPr>
          <w:noProof/>
        </w:rPr>
        <w:instrText xml:space="preserve"> PAGEREF _Toc448404726 \h </w:instrText>
      </w:r>
      <w:r>
        <w:rPr>
          <w:noProof/>
        </w:rPr>
      </w:r>
      <w:r>
        <w:rPr>
          <w:noProof/>
        </w:rPr>
        <w:fldChar w:fldCharType="separate"/>
      </w:r>
      <w:r w:rsidR="00E00EF9">
        <w:rPr>
          <w:noProof/>
        </w:rPr>
        <w:t>7</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t>Scheme integrity</w:t>
      </w:r>
      <w:r>
        <w:rPr>
          <w:noProof/>
        </w:rPr>
        <w:tab/>
      </w:r>
      <w:r>
        <w:rPr>
          <w:noProof/>
        </w:rPr>
        <w:fldChar w:fldCharType="begin"/>
      </w:r>
      <w:r>
        <w:rPr>
          <w:noProof/>
        </w:rPr>
        <w:instrText xml:space="preserve"> PAGEREF _Toc448404727 \h </w:instrText>
      </w:r>
      <w:r>
        <w:rPr>
          <w:noProof/>
        </w:rPr>
      </w:r>
      <w:r>
        <w:rPr>
          <w:noProof/>
        </w:rPr>
        <w:fldChar w:fldCharType="separate"/>
      </w:r>
      <w:r w:rsidR="00E00EF9">
        <w:rPr>
          <w:noProof/>
        </w:rPr>
        <w:t>8</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t>Affordability</w:t>
      </w:r>
      <w:r>
        <w:rPr>
          <w:noProof/>
        </w:rPr>
        <w:tab/>
      </w:r>
      <w:r>
        <w:rPr>
          <w:noProof/>
        </w:rPr>
        <w:fldChar w:fldCharType="begin"/>
      </w:r>
      <w:r>
        <w:rPr>
          <w:noProof/>
        </w:rPr>
        <w:instrText xml:space="preserve"> PAGEREF _Toc448404728 \h </w:instrText>
      </w:r>
      <w:r>
        <w:rPr>
          <w:noProof/>
        </w:rPr>
      </w:r>
      <w:r>
        <w:rPr>
          <w:noProof/>
        </w:rPr>
        <w:fldChar w:fldCharType="separate"/>
      </w:r>
      <w:r w:rsidR="00E00EF9">
        <w:rPr>
          <w:noProof/>
        </w:rPr>
        <w:t>9</w:t>
      </w:r>
      <w:r>
        <w:rPr>
          <w:noProof/>
        </w:rPr>
        <w:fldChar w:fldCharType="end"/>
      </w:r>
    </w:p>
    <w:p w:rsidR="004F70AB" w:rsidRDefault="004F70AB" w:rsidP="00E00EF9">
      <w:pPr>
        <w:pStyle w:val="TOC1"/>
        <w:rPr>
          <w:rFonts w:eastAsiaTheme="minorEastAsia" w:cstheme="minorBidi"/>
          <w:color w:val="auto"/>
          <w:sz w:val="22"/>
          <w:szCs w:val="22"/>
          <w:lang w:eastAsia="en-AU"/>
        </w:rPr>
      </w:pPr>
      <w:r>
        <w:t>Some policy issues</w:t>
      </w:r>
      <w:r>
        <w:tab/>
      </w:r>
      <w:r>
        <w:fldChar w:fldCharType="begin"/>
      </w:r>
      <w:r>
        <w:instrText xml:space="preserve"> PAGEREF _Toc448404729 \h </w:instrText>
      </w:r>
      <w:r>
        <w:fldChar w:fldCharType="separate"/>
      </w:r>
      <w:r w:rsidR="00E00EF9">
        <w:t>12</w:t>
      </w:r>
      <w:r>
        <w:fldChar w:fldCharType="end"/>
      </w:r>
    </w:p>
    <w:p w:rsidR="004F70AB" w:rsidRDefault="004F70AB" w:rsidP="00674D57">
      <w:pPr>
        <w:pStyle w:val="TOC2"/>
        <w:rPr>
          <w:rFonts w:eastAsiaTheme="minorEastAsia" w:cstheme="minorBidi"/>
          <w:noProof/>
          <w:color w:val="auto"/>
          <w:sz w:val="22"/>
          <w:szCs w:val="22"/>
          <w:lang w:eastAsia="en-AU"/>
        </w:rPr>
      </w:pPr>
      <w:r>
        <w:rPr>
          <w:noProof/>
        </w:rPr>
        <w:t>Fault versus no-fault</w:t>
      </w:r>
      <w:r>
        <w:rPr>
          <w:noProof/>
        </w:rPr>
        <w:tab/>
      </w:r>
      <w:r>
        <w:rPr>
          <w:noProof/>
        </w:rPr>
        <w:fldChar w:fldCharType="begin"/>
      </w:r>
      <w:r>
        <w:rPr>
          <w:noProof/>
        </w:rPr>
        <w:instrText xml:space="preserve"> PAGEREF _Toc448404730 \h </w:instrText>
      </w:r>
      <w:r>
        <w:rPr>
          <w:noProof/>
        </w:rPr>
      </w:r>
      <w:r>
        <w:rPr>
          <w:noProof/>
        </w:rPr>
        <w:fldChar w:fldCharType="separate"/>
      </w:r>
      <w:r w:rsidR="00E00EF9">
        <w:rPr>
          <w:noProof/>
        </w:rPr>
        <w:t>12</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t>Coverage for other injured road users</w:t>
      </w:r>
      <w:r>
        <w:rPr>
          <w:noProof/>
        </w:rPr>
        <w:tab/>
      </w:r>
      <w:r>
        <w:rPr>
          <w:noProof/>
        </w:rPr>
        <w:fldChar w:fldCharType="begin"/>
      </w:r>
      <w:r>
        <w:rPr>
          <w:noProof/>
        </w:rPr>
        <w:instrText xml:space="preserve"> PAGEREF _Toc448404731 \h </w:instrText>
      </w:r>
      <w:r>
        <w:rPr>
          <w:noProof/>
        </w:rPr>
      </w:r>
      <w:r>
        <w:rPr>
          <w:noProof/>
        </w:rPr>
        <w:fldChar w:fldCharType="separate"/>
      </w:r>
      <w:r w:rsidR="00E00EF9">
        <w:rPr>
          <w:noProof/>
        </w:rPr>
        <w:t>12</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t>First party versus third party scheme</w:t>
      </w:r>
      <w:r>
        <w:rPr>
          <w:noProof/>
        </w:rPr>
        <w:tab/>
      </w:r>
      <w:r>
        <w:rPr>
          <w:noProof/>
        </w:rPr>
        <w:fldChar w:fldCharType="begin"/>
      </w:r>
      <w:r>
        <w:rPr>
          <w:noProof/>
        </w:rPr>
        <w:instrText xml:space="preserve"> PAGEREF _Toc448404732 \h </w:instrText>
      </w:r>
      <w:r>
        <w:rPr>
          <w:noProof/>
        </w:rPr>
      </w:r>
      <w:r>
        <w:rPr>
          <w:noProof/>
        </w:rPr>
        <w:fldChar w:fldCharType="separate"/>
      </w:r>
      <w:r w:rsidR="00E00EF9">
        <w:rPr>
          <w:noProof/>
        </w:rPr>
        <w:t>12</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t>Profit and competition</w:t>
      </w:r>
      <w:r>
        <w:rPr>
          <w:noProof/>
        </w:rPr>
        <w:tab/>
      </w:r>
      <w:r>
        <w:rPr>
          <w:noProof/>
        </w:rPr>
        <w:fldChar w:fldCharType="begin"/>
      </w:r>
      <w:r>
        <w:rPr>
          <w:noProof/>
        </w:rPr>
        <w:instrText xml:space="preserve"> PAGEREF _Toc448404733 \h </w:instrText>
      </w:r>
      <w:r>
        <w:rPr>
          <w:noProof/>
        </w:rPr>
      </w:r>
      <w:r>
        <w:rPr>
          <w:noProof/>
        </w:rPr>
        <w:fldChar w:fldCharType="separate"/>
      </w:r>
      <w:r w:rsidR="00E00EF9">
        <w:rPr>
          <w:noProof/>
        </w:rPr>
        <w:t>13</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t>Underwriting considerations</w:t>
      </w:r>
      <w:r>
        <w:rPr>
          <w:noProof/>
        </w:rPr>
        <w:tab/>
      </w:r>
      <w:r>
        <w:rPr>
          <w:noProof/>
        </w:rPr>
        <w:fldChar w:fldCharType="begin"/>
      </w:r>
      <w:r>
        <w:rPr>
          <w:noProof/>
        </w:rPr>
        <w:instrText xml:space="preserve"> PAGEREF _Toc448404734 \h </w:instrText>
      </w:r>
      <w:r>
        <w:rPr>
          <w:noProof/>
        </w:rPr>
      </w:r>
      <w:r>
        <w:rPr>
          <w:noProof/>
        </w:rPr>
        <w:fldChar w:fldCharType="separate"/>
      </w:r>
      <w:r w:rsidR="00E00EF9">
        <w:rPr>
          <w:noProof/>
        </w:rPr>
        <w:t>13</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t>Wrong doing</w:t>
      </w:r>
      <w:r>
        <w:rPr>
          <w:noProof/>
        </w:rPr>
        <w:tab/>
      </w:r>
      <w:r>
        <w:rPr>
          <w:noProof/>
        </w:rPr>
        <w:fldChar w:fldCharType="begin"/>
      </w:r>
      <w:r>
        <w:rPr>
          <w:noProof/>
        </w:rPr>
        <w:instrText xml:space="preserve"> PAGEREF _Toc448404735 \h </w:instrText>
      </w:r>
      <w:r>
        <w:rPr>
          <w:noProof/>
        </w:rPr>
      </w:r>
      <w:r>
        <w:rPr>
          <w:noProof/>
        </w:rPr>
        <w:fldChar w:fldCharType="separate"/>
      </w:r>
      <w:r w:rsidR="00E00EF9">
        <w:rPr>
          <w:noProof/>
        </w:rPr>
        <w:t>14</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br w:type="column"/>
        <w:t>Adequacy and consistency of lump sum payments</w:t>
      </w:r>
      <w:r>
        <w:rPr>
          <w:noProof/>
        </w:rPr>
        <w:tab/>
      </w:r>
      <w:r>
        <w:rPr>
          <w:noProof/>
        </w:rPr>
        <w:fldChar w:fldCharType="begin"/>
      </w:r>
      <w:r>
        <w:rPr>
          <w:noProof/>
        </w:rPr>
        <w:instrText xml:space="preserve"> PAGEREF _Toc448404736 \h </w:instrText>
      </w:r>
      <w:r>
        <w:rPr>
          <w:noProof/>
        </w:rPr>
      </w:r>
      <w:r>
        <w:rPr>
          <w:noProof/>
        </w:rPr>
        <w:fldChar w:fldCharType="separate"/>
      </w:r>
      <w:r w:rsidR="00E00EF9">
        <w:rPr>
          <w:noProof/>
        </w:rPr>
        <w:t>14</w:t>
      </w:r>
      <w:r>
        <w:rPr>
          <w:noProof/>
        </w:rPr>
        <w:fldChar w:fldCharType="end"/>
      </w:r>
    </w:p>
    <w:p w:rsidR="004F70AB" w:rsidRDefault="004F70AB" w:rsidP="004F70AB">
      <w:pPr>
        <w:pStyle w:val="TOC2"/>
        <w:rPr>
          <w:rFonts w:eastAsiaTheme="minorEastAsia" w:cstheme="minorBidi"/>
          <w:noProof/>
          <w:color w:val="auto"/>
          <w:sz w:val="22"/>
          <w:szCs w:val="22"/>
          <w:lang w:eastAsia="en-AU"/>
        </w:rPr>
      </w:pPr>
      <w:r>
        <w:rPr>
          <w:noProof/>
        </w:rPr>
        <w:t>Abuse of the system</w:t>
      </w:r>
      <w:r>
        <w:rPr>
          <w:noProof/>
        </w:rPr>
        <w:tab/>
      </w:r>
      <w:r>
        <w:rPr>
          <w:noProof/>
        </w:rPr>
        <w:fldChar w:fldCharType="begin"/>
      </w:r>
      <w:r>
        <w:rPr>
          <w:noProof/>
        </w:rPr>
        <w:instrText xml:space="preserve"> PAGEREF _Toc448404737 \h </w:instrText>
      </w:r>
      <w:r>
        <w:rPr>
          <w:noProof/>
        </w:rPr>
      </w:r>
      <w:r>
        <w:rPr>
          <w:noProof/>
        </w:rPr>
        <w:fldChar w:fldCharType="separate"/>
      </w:r>
      <w:r w:rsidR="00E00EF9">
        <w:rPr>
          <w:noProof/>
        </w:rPr>
        <w:t>15</w:t>
      </w:r>
      <w:r>
        <w:rPr>
          <w:noProof/>
        </w:rPr>
        <w:fldChar w:fldCharType="end"/>
      </w:r>
    </w:p>
    <w:p w:rsidR="004F70AB" w:rsidRDefault="004F70AB" w:rsidP="00E00EF9">
      <w:pPr>
        <w:pStyle w:val="TOC1"/>
        <w:rPr>
          <w:rFonts w:eastAsiaTheme="minorEastAsia" w:cstheme="minorBidi"/>
          <w:color w:val="auto"/>
          <w:sz w:val="22"/>
          <w:szCs w:val="22"/>
          <w:lang w:eastAsia="en-AU"/>
        </w:rPr>
      </w:pPr>
      <w:r>
        <w:t>Potential reform options</w:t>
      </w:r>
      <w:r>
        <w:tab/>
      </w:r>
      <w:r>
        <w:fldChar w:fldCharType="begin"/>
      </w:r>
      <w:r>
        <w:instrText xml:space="preserve"> PAGEREF _Toc448404738 \h </w:instrText>
      </w:r>
      <w:r>
        <w:fldChar w:fldCharType="separate"/>
      </w:r>
      <w:r w:rsidR="00E00EF9">
        <w:t>16</w:t>
      </w:r>
      <w:r>
        <w:fldChar w:fldCharType="end"/>
      </w:r>
    </w:p>
    <w:p w:rsidR="004F70AB" w:rsidRDefault="004F70AB">
      <w:pPr>
        <w:pStyle w:val="TOC2"/>
        <w:rPr>
          <w:rFonts w:eastAsiaTheme="minorEastAsia" w:cstheme="minorBidi"/>
          <w:noProof/>
          <w:color w:val="auto"/>
          <w:sz w:val="22"/>
          <w:szCs w:val="22"/>
          <w:lang w:eastAsia="en-AU"/>
        </w:rPr>
      </w:pPr>
      <w:r>
        <w:rPr>
          <w:noProof/>
        </w:rPr>
        <w:t>Option 1 – Retain the current common law, fault-based scheme with process improvements</w:t>
      </w:r>
      <w:r>
        <w:rPr>
          <w:noProof/>
        </w:rPr>
        <w:tab/>
      </w:r>
      <w:r>
        <w:rPr>
          <w:noProof/>
        </w:rPr>
        <w:fldChar w:fldCharType="begin"/>
      </w:r>
      <w:r>
        <w:rPr>
          <w:noProof/>
        </w:rPr>
        <w:instrText xml:space="preserve"> PAGEREF _Toc448404739 \h </w:instrText>
      </w:r>
      <w:r>
        <w:rPr>
          <w:noProof/>
        </w:rPr>
      </w:r>
      <w:r>
        <w:rPr>
          <w:noProof/>
        </w:rPr>
        <w:fldChar w:fldCharType="separate"/>
      </w:r>
      <w:r w:rsidR="00E00EF9">
        <w:rPr>
          <w:noProof/>
        </w:rPr>
        <w:t>17</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t>Option 2 – Retain the current common law, fault-based scheme with adjustments to benefit levels as well as process improvements</w:t>
      </w:r>
      <w:r>
        <w:rPr>
          <w:noProof/>
        </w:rPr>
        <w:tab/>
      </w:r>
      <w:r>
        <w:rPr>
          <w:noProof/>
        </w:rPr>
        <w:fldChar w:fldCharType="begin"/>
      </w:r>
      <w:r>
        <w:rPr>
          <w:noProof/>
        </w:rPr>
        <w:instrText xml:space="preserve"> PAGEREF _Toc448404740 \h </w:instrText>
      </w:r>
      <w:r>
        <w:rPr>
          <w:noProof/>
        </w:rPr>
      </w:r>
      <w:r>
        <w:rPr>
          <w:noProof/>
        </w:rPr>
        <w:fldChar w:fldCharType="separate"/>
      </w:r>
      <w:r w:rsidR="00E00EF9">
        <w:rPr>
          <w:noProof/>
        </w:rPr>
        <w:t>18</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t>Option 3 – Move to a hybrid no-fault, defined benefits scheme with common law benefits retained in parallel</w:t>
      </w:r>
      <w:r>
        <w:rPr>
          <w:noProof/>
        </w:rPr>
        <w:tab/>
      </w:r>
      <w:r>
        <w:rPr>
          <w:noProof/>
        </w:rPr>
        <w:fldChar w:fldCharType="begin"/>
      </w:r>
      <w:r>
        <w:rPr>
          <w:noProof/>
        </w:rPr>
        <w:instrText xml:space="preserve"> PAGEREF _Toc448404741 \h </w:instrText>
      </w:r>
      <w:r>
        <w:rPr>
          <w:noProof/>
        </w:rPr>
      </w:r>
      <w:r>
        <w:rPr>
          <w:noProof/>
        </w:rPr>
        <w:fldChar w:fldCharType="separate"/>
      </w:r>
      <w:r w:rsidR="00E00EF9">
        <w:rPr>
          <w:noProof/>
        </w:rPr>
        <w:t>19</w:t>
      </w:r>
      <w:r>
        <w:rPr>
          <w:noProof/>
        </w:rPr>
        <w:fldChar w:fldCharType="end"/>
      </w:r>
    </w:p>
    <w:p w:rsidR="004F70AB" w:rsidRDefault="004F70AB">
      <w:pPr>
        <w:pStyle w:val="TOC2"/>
        <w:rPr>
          <w:rFonts w:eastAsiaTheme="minorEastAsia" w:cstheme="minorBidi"/>
          <w:noProof/>
          <w:color w:val="auto"/>
          <w:sz w:val="22"/>
          <w:szCs w:val="22"/>
          <w:lang w:eastAsia="en-AU"/>
        </w:rPr>
      </w:pPr>
      <w:r>
        <w:rPr>
          <w:noProof/>
        </w:rPr>
        <w:t>Option 4 – Move to a fully no-fault, defined benefits scheme with caps, thresholds and no common law</w:t>
      </w:r>
      <w:r>
        <w:rPr>
          <w:noProof/>
        </w:rPr>
        <w:tab/>
      </w:r>
      <w:r>
        <w:rPr>
          <w:noProof/>
        </w:rPr>
        <w:fldChar w:fldCharType="begin"/>
      </w:r>
      <w:r>
        <w:rPr>
          <w:noProof/>
        </w:rPr>
        <w:instrText xml:space="preserve"> PAGEREF _Toc448404742 \h </w:instrText>
      </w:r>
      <w:r>
        <w:rPr>
          <w:noProof/>
        </w:rPr>
      </w:r>
      <w:r>
        <w:rPr>
          <w:noProof/>
        </w:rPr>
        <w:fldChar w:fldCharType="separate"/>
      </w:r>
      <w:r w:rsidR="00E00EF9">
        <w:rPr>
          <w:noProof/>
        </w:rPr>
        <w:t>21</w:t>
      </w:r>
      <w:r>
        <w:rPr>
          <w:noProof/>
        </w:rPr>
        <w:fldChar w:fldCharType="end"/>
      </w:r>
    </w:p>
    <w:p w:rsidR="004F70AB" w:rsidRDefault="004F70AB" w:rsidP="00E00EF9">
      <w:pPr>
        <w:pStyle w:val="TOC1"/>
        <w:rPr>
          <w:rFonts w:eastAsiaTheme="minorEastAsia" w:cstheme="minorBidi"/>
          <w:color w:val="auto"/>
          <w:sz w:val="22"/>
          <w:szCs w:val="22"/>
          <w:lang w:eastAsia="en-AU"/>
        </w:rPr>
      </w:pPr>
      <w:r>
        <w:t>How to make a submission</w:t>
      </w:r>
      <w:r>
        <w:tab/>
      </w:r>
      <w:r>
        <w:fldChar w:fldCharType="begin"/>
      </w:r>
      <w:r>
        <w:instrText xml:space="preserve"> PAGEREF _Toc448404743 \h </w:instrText>
      </w:r>
      <w:r>
        <w:fldChar w:fldCharType="separate"/>
      </w:r>
      <w:r w:rsidR="00E00EF9">
        <w:t>23</w:t>
      </w:r>
      <w:r>
        <w:fldChar w:fldCharType="end"/>
      </w:r>
    </w:p>
    <w:p w:rsidR="004F70AB" w:rsidRDefault="004F70AB" w:rsidP="00E00EF9">
      <w:pPr>
        <w:pStyle w:val="TOC1"/>
        <w:rPr>
          <w:rFonts w:eastAsiaTheme="minorEastAsia" w:cstheme="minorBidi"/>
          <w:color w:val="auto"/>
          <w:sz w:val="22"/>
          <w:szCs w:val="22"/>
          <w:lang w:eastAsia="en-AU"/>
        </w:rPr>
      </w:pPr>
      <w:r>
        <w:t>Glossary</w:t>
      </w:r>
      <w:r>
        <w:tab/>
      </w:r>
      <w:r>
        <w:fldChar w:fldCharType="begin"/>
      </w:r>
      <w:r>
        <w:instrText xml:space="preserve"> PAGEREF _Toc448404744 \h </w:instrText>
      </w:r>
      <w:r>
        <w:fldChar w:fldCharType="separate"/>
      </w:r>
      <w:r w:rsidR="00E00EF9">
        <w:t>24</w:t>
      </w:r>
      <w:r>
        <w:fldChar w:fldCharType="end"/>
      </w:r>
    </w:p>
    <w:p w:rsidR="004F70AB" w:rsidRDefault="004F70AB" w:rsidP="00E00EF9">
      <w:pPr>
        <w:pStyle w:val="TOC1"/>
        <w:rPr>
          <w:rFonts w:eastAsiaTheme="minorEastAsia" w:cstheme="minorBidi"/>
          <w:color w:val="auto"/>
          <w:sz w:val="22"/>
          <w:szCs w:val="22"/>
          <w:lang w:eastAsia="en-AU"/>
        </w:rPr>
      </w:pPr>
      <w:r>
        <w:t>Appendix: Comparison of schemes around Australia</w:t>
      </w:r>
      <w:r>
        <w:tab/>
      </w:r>
      <w:r>
        <w:fldChar w:fldCharType="begin"/>
      </w:r>
      <w:r>
        <w:instrText xml:space="preserve"> PAGEREF _Toc448404745 \h </w:instrText>
      </w:r>
      <w:r>
        <w:fldChar w:fldCharType="separate"/>
      </w:r>
      <w:r w:rsidR="00E00EF9">
        <w:t>25</w:t>
      </w:r>
      <w:r>
        <w:fldChar w:fldCharType="end"/>
      </w:r>
    </w:p>
    <w:p w:rsidR="0065344E" w:rsidRPr="004971DD" w:rsidRDefault="00B3081C" w:rsidP="004971DD">
      <w:r>
        <w:rPr>
          <w:rFonts w:ascii="Gotham Medium" w:hAnsi="Gotham Medium"/>
          <w:b/>
          <w:color w:val="00A5D4" w:themeColor="accent1"/>
          <w:sz w:val="24"/>
        </w:rPr>
        <w:fldChar w:fldCharType="end"/>
      </w:r>
      <w:r w:rsidR="004971DD">
        <w:t xml:space="preserve"> </w:t>
      </w:r>
      <w:r w:rsidR="00A43A40" w:rsidRPr="004971DD">
        <w:br w:type="page"/>
      </w:r>
    </w:p>
    <w:p w:rsidR="003C5762" w:rsidRDefault="00047873" w:rsidP="003C5762">
      <w:pPr>
        <w:pStyle w:val="SectionHeading"/>
        <w:framePr w:wrap="around"/>
        <w:rPr>
          <w:noProof/>
        </w:rPr>
      </w:pPr>
      <w:bookmarkStart w:id="2" w:name="Start"/>
      <w:bookmarkStart w:id="3" w:name="_Toc448404721"/>
      <w:bookmarkEnd w:id="2"/>
      <w:r>
        <w:rPr>
          <w:noProof/>
        </w:rPr>
        <w:lastRenderedPageBreak/>
        <w:t>Minister’s foreword</w:t>
      </w:r>
      <w:bookmarkEnd w:id="3"/>
    </w:p>
    <w:p w:rsidR="005C621D" w:rsidRDefault="00FC05E8" w:rsidP="005C621D">
      <w:r>
        <w:rPr>
          <w:noProof/>
          <w:lang w:eastAsia="en-AU"/>
        </w:rPr>
        <w:drawing>
          <wp:anchor distT="0" distB="0" distL="0" distR="114300" simplePos="0" relativeHeight="251658240" behindDoc="0" locked="0" layoutInCell="1" allowOverlap="1" wp14:anchorId="138B268A" wp14:editId="5C52292A">
            <wp:simplePos x="0" y="0"/>
            <wp:positionH relativeFrom="column">
              <wp:posOffset>635</wp:posOffset>
            </wp:positionH>
            <wp:positionV relativeFrom="paragraph">
              <wp:posOffset>1101090</wp:posOffset>
            </wp:positionV>
            <wp:extent cx="1612800" cy="1882800"/>
            <wp:effectExtent l="0" t="0" r="6985" b="3175"/>
            <wp:wrapSquare wrapText="right"/>
            <wp:docPr id="2" name="Picture 2" title="Minis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_BW.jpg"/>
                    <pic:cNvPicPr/>
                  </pic:nvPicPr>
                  <pic:blipFill rotWithShape="1">
                    <a:blip r:embed="rId11">
                      <a:extLst>
                        <a:ext uri="{28A0092B-C50C-407E-A947-70E740481C1C}">
                          <a14:useLocalDpi xmlns:a14="http://schemas.microsoft.com/office/drawing/2010/main" val="0"/>
                        </a:ext>
                      </a:extLst>
                    </a:blip>
                    <a:srcRect t="2440" b="19738"/>
                    <a:stretch/>
                  </pic:blipFill>
                  <pic:spPr bwMode="auto">
                    <a:xfrm>
                      <a:off x="0" y="0"/>
                      <a:ext cx="1612800" cy="188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621D">
        <w:t xml:space="preserve">Each year, the NSW Compulsory Third Party (CTP) insurance scheme provides support to around 16,000 people injured on the state’s roads. Also known as the Green Slip scheme, it provides a range of benefits to injured road users including medical expenses, compensation for economic loss and payments for pain and suffering for those with permanent injuries. </w:t>
      </w:r>
    </w:p>
    <w:p w:rsidR="005C621D" w:rsidRDefault="005C621D" w:rsidP="005C621D">
      <w:r>
        <w:t xml:space="preserve">The current scheme has been in place for more than 15 years and the NSW Government is committed to ensuring that it works well and is sustainable into the future. </w:t>
      </w:r>
    </w:p>
    <w:p w:rsidR="005C621D" w:rsidRDefault="005C621D" w:rsidP="005C621D">
      <w:r>
        <w:t xml:space="preserve">The Government last reviewed the CTP scheme in 2013 and while a final set of reforms was not agreed, there was broad consensus that the current scheme needs to be improved. </w:t>
      </w:r>
    </w:p>
    <w:p w:rsidR="005C621D" w:rsidRDefault="005C621D" w:rsidP="005C621D">
      <w:r>
        <w:t>It has become increasingly clear in recent years, and particularly over the last 12 months, that the system is not serving injured road users as well as it could. Only 45 cents in every Green Slip dollar ends up in the hands of injured road users – the rest is absorbed by scheme costs and provider fees.</w:t>
      </w:r>
    </w:p>
    <w:p w:rsidR="005C621D" w:rsidRDefault="005C621D" w:rsidP="005C621D">
      <w:r>
        <w:t>Another key concern relates to the claims process. A person injured in a motor vehicle accident can wait between three and five years for their claim to be resolved. At the same time, Green Slip premiums have increased significantly and are now one of the most expensive in Australia. We know that, without scheme reform, there’s likely to be further premium increases in the coming years.</w:t>
      </w:r>
    </w:p>
    <w:p w:rsidR="005C621D" w:rsidRDefault="005C621D" w:rsidP="005C621D">
      <w:r>
        <w:t xml:space="preserve">The CTP scheme is also being challenged by a significant increase in fraudulent and exaggerated claims, the costs of which are ultimately reflected in increased Green Slip prices. </w:t>
      </w:r>
    </w:p>
    <w:p w:rsidR="005C621D" w:rsidRDefault="005C621D" w:rsidP="005C621D">
      <w:r>
        <w:t xml:space="preserve">For these reasons the Government believes the time is right for a major scheme review. </w:t>
      </w:r>
    </w:p>
    <w:p w:rsidR="005C621D" w:rsidRDefault="006A7EC1" w:rsidP="005C621D">
      <w:r>
        <w:br w:type="column"/>
      </w:r>
      <w:r w:rsidR="005C621D">
        <w:t>This Options Paper represents the first step in a genuine and broad-ranging consultation process aimed at creating a fairer and more affordable scheme for road users. It focuses on four key objectives:</w:t>
      </w:r>
    </w:p>
    <w:p w:rsidR="005C621D" w:rsidRDefault="005C621D" w:rsidP="005C621D">
      <w:pPr>
        <w:pStyle w:val="ListBullet"/>
      </w:pPr>
      <w:r>
        <w:t>increasing the proportion of benefits provided to the most seriously injured road users</w:t>
      </w:r>
    </w:p>
    <w:p w:rsidR="005C621D" w:rsidRDefault="005C621D" w:rsidP="005C621D">
      <w:pPr>
        <w:pStyle w:val="ListBullet"/>
      </w:pPr>
      <w:r>
        <w:t>reducing the time it takes to resolve a claim</w:t>
      </w:r>
    </w:p>
    <w:p w:rsidR="005C621D" w:rsidRDefault="005C621D" w:rsidP="005C621D">
      <w:pPr>
        <w:pStyle w:val="ListBullet"/>
      </w:pPr>
      <w:r>
        <w:t>reducing opportunities for claims fraud and exaggeration</w:t>
      </w:r>
    </w:p>
    <w:p w:rsidR="005C621D" w:rsidRDefault="005C621D" w:rsidP="005C621D">
      <w:pPr>
        <w:pStyle w:val="ListBullet"/>
      </w:pPr>
      <w:proofErr w:type="gramStart"/>
      <w:r>
        <w:t>reducing</w:t>
      </w:r>
      <w:proofErr w:type="gramEnd"/>
      <w:r>
        <w:t xml:space="preserve"> the cost of Green Slip premiums.</w:t>
      </w:r>
    </w:p>
    <w:p w:rsidR="005C621D" w:rsidRDefault="005C621D" w:rsidP="005C621D">
      <w:r>
        <w:t xml:space="preserve">We recognise that there are no right or wrong answers, rather different options for scheme design. </w:t>
      </w:r>
    </w:p>
    <w:p w:rsidR="005C621D" w:rsidRDefault="005C621D" w:rsidP="005C621D">
      <w:r>
        <w:t>Different Australian states take different approaches – NSW, Queensland, Western Australia and the ACT have primarily fault-based schemes, whereas Victoria, Tasmania and  Northern Territory have no-fault or hybrid systems.</w:t>
      </w:r>
    </w:p>
    <w:p w:rsidR="005C621D" w:rsidRDefault="005C621D" w:rsidP="005C621D">
      <w:r>
        <w:t xml:space="preserve">This paper puts forward a number of options, including retaining and improving the current common law fault-based system, as well as moving to a no-fault, defined benefits system. A hybrid option is also outlined along with possible premium and underwriting system reforms. </w:t>
      </w:r>
    </w:p>
    <w:p w:rsidR="005C621D" w:rsidRDefault="005C621D" w:rsidP="005C621D">
      <w:r>
        <w:t>All road users have an important stake in our CTP insurance system and I encourage you to make your views known by lodging a submission. We greatly value your input.</w:t>
      </w:r>
    </w:p>
    <w:p w:rsidR="005C621D" w:rsidRDefault="005C621D" w:rsidP="005C621D">
      <w:r>
        <w:t>Following consultation, the Government will report back with preferred reform options in the second half of the year.</w:t>
      </w:r>
    </w:p>
    <w:p w:rsidR="005C621D" w:rsidRDefault="00516A7B">
      <w:pPr>
        <w:adjustRightInd/>
        <w:snapToGrid/>
        <w:spacing w:after="0" w:line="240" w:lineRule="auto"/>
      </w:pPr>
      <w:r>
        <w:rPr>
          <w:noProof/>
          <w:lang w:eastAsia="en-AU"/>
        </w:rPr>
        <w:drawing>
          <wp:inline distT="0" distB="0" distL="0" distR="0" wp14:anchorId="57021077" wp14:editId="053E87C4">
            <wp:extent cx="2738818" cy="923925"/>
            <wp:effectExtent l="0" t="0" r="4445" b="0"/>
            <wp:docPr id="6" name="Picture 6" title="Minist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 Sig.jpg"/>
                    <pic:cNvPicPr/>
                  </pic:nvPicPr>
                  <pic:blipFill>
                    <a:blip r:embed="rId12">
                      <a:extLst>
                        <a:ext uri="{28A0092B-C50C-407E-A947-70E740481C1C}">
                          <a14:useLocalDpi xmlns:a14="http://schemas.microsoft.com/office/drawing/2010/main" val="0"/>
                        </a:ext>
                      </a:extLst>
                    </a:blip>
                    <a:stretch>
                      <a:fillRect/>
                    </a:stretch>
                  </pic:blipFill>
                  <pic:spPr>
                    <a:xfrm>
                      <a:off x="0" y="0"/>
                      <a:ext cx="2745458" cy="926165"/>
                    </a:xfrm>
                    <a:prstGeom prst="rect">
                      <a:avLst/>
                    </a:prstGeom>
                  </pic:spPr>
                </pic:pic>
              </a:graphicData>
            </a:graphic>
          </wp:inline>
        </w:drawing>
      </w:r>
    </w:p>
    <w:p w:rsidR="005C621D" w:rsidRDefault="005C621D">
      <w:pPr>
        <w:adjustRightInd/>
        <w:snapToGrid/>
        <w:spacing w:after="0" w:line="240" w:lineRule="auto"/>
      </w:pPr>
    </w:p>
    <w:p w:rsidR="005C621D" w:rsidRDefault="005C621D" w:rsidP="005C621D">
      <w:pPr>
        <w:adjustRightInd/>
        <w:snapToGrid/>
        <w:spacing w:after="0" w:line="240" w:lineRule="auto"/>
      </w:pPr>
      <w:r>
        <w:t xml:space="preserve">The Hon Victor </w:t>
      </w:r>
      <w:proofErr w:type="spellStart"/>
      <w:r>
        <w:t>Dominello</w:t>
      </w:r>
      <w:proofErr w:type="spellEnd"/>
      <w:r>
        <w:t xml:space="preserve"> MP</w:t>
      </w:r>
    </w:p>
    <w:p w:rsidR="005C621D" w:rsidRDefault="005C621D" w:rsidP="005C621D">
      <w:pPr>
        <w:adjustRightInd/>
        <w:snapToGrid/>
        <w:spacing w:after="0" w:line="240" w:lineRule="auto"/>
      </w:pPr>
      <w:r>
        <w:t>Minister for Innovation and Better Regulation</w:t>
      </w:r>
    </w:p>
    <w:p w:rsidR="00014915" w:rsidRDefault="00014915">
      <w:pPr>
        <w:adjustRightInd/>
        <w:snapToGrid/>
        <w:spacing w:after="0" w:line="240" w:lineRule="auto"/>
      </w:pPr>
    </w:p>
    <w:p w:rsidR="00014915" w:rsidRDefault="00014915">
      <w:pPr>
        <w:adjustRightInd/>
        <w:snapToGrid/>
        <w:spacing w:after="0" w:line="240" w:lineRule="auto"/>
      </w:pPr>
      <w:r>
        <w:br w:type="page"/>
      </w:r>
    </w:p>
    <w:p w:rsidR="00014915" w:rsidRDefault="00014915" w:rsidP="00014915">
      <w:pPr>
        <w:pStyle w:val="SectionHeading"/>
        <w:framePr w:wrap="around"/>
      </w:pPr>
      <w:bookmarkStart w:id="4" w:name="_Toc448404722"/>
      <w:r w:rsidRPr="00014915">
        <w:lastRenderedPageBreak/>
        <w:t>The NSW Motor Accidents Compulsory Third Party (CTP) Scheme</w:t>
      </w:r>
      <w:bookmarkEnd w:id="4"/>
    </w:p>
    <w:p w:rsidR="00014915" w:rsidRDefault="00014915" w:rsidP="00014915">
      <w:r>
        <w:t>Despite our best road safety efforts, around 25,000 people are injured in motor vehicle accidents in NSW each year. People injured in motor vehicle accidents often require support to cover medical and rehabilitation costs, suffer financial losses as a result of time off work, and in some cases, face a reduction in future earning capacity.</w:t>
      </w:r>
    </w:p>
    <w:p w:rsidR="00014915" w:rsidRDefault="00014915" w:rsidP="00014915">
      <w:r>
        <w:t>CTP Green Slip insurance is a mandatory insurance product intended to ensure that people injured in motor vehicle accidents receive the support they need as a result of injuries incurred. Without CTP insurance, vehicle owners would have to personally pay for any injuries they may cause to another person, which many motorists would not be able to afford. If those responsible are unable to pay then the injured person would be left to carry the cost of their injury themselves.</w:t>
      </w:r>
    </w:p>
    <w:p w:rsidR="00014915" w:rsidRDefault="00014915" w:rsidP="00014915">
      <w:r>
        <w:t xml:space="preserve">CTP insurance is required in order to register a vehicle in NSW and protects the owner from being personally sued for any injuries their vehicle causes to passengers, the drivers and passengers of other vehicles, pedestrians and cyclists. </w:t>
      </w:r>
    </w:p>
    <w:p w:rsidR="006A5BFB" w:rsidRDefault="00014915" w:rsidP="00014915">
      <w:r>
        <w:t>Since 1988 the NSW CTP scheme has been provided by private insurance companies which are licensed and overseen by the State Insurance Regulatory Authority (SIRA). At present, the vehicle owner must buy their insurance from one of six licensed insurers.</w:t>
      </w:r>
    </w:p>
    <w:p w:rsidR="00014915" w:rsidRDefault="008A0B9B" w:rsidP="00014915">
      <w:r>
        <w:br w:type="column"/>
      </w:r>
      <w:r w:rsidR="00014915">
        <w:t xml:space="preserve">Green Slip prices are set independently by these insurers having regard to the likely costs of claims and the associated costs of delivery. They determine different pricing strategies, depending on their particular business strategy. Although SIRA does not set or approve prices, it plays a role in premium pricing by determining the extent of cross subsidies (that is, the practice of charging higher prices to one group of consumers in order to subsidise lower prices for another group). This ensures that customers considered to be a higher risk, such as young drivers, are not priced out of the CTP market. </w:t>
      </w:r>
    </w:p>
    <w:p w:rsidR="00014915" w:rsidRDefault="00014915" w:rsidP="00014915">
      <w:r>
        <w:t>While all Australian states and territories, and most jurisdictions abroad, have CTP schemes, they differ vastly in their operation and the level of coverage and benefits provided. In some places, like Victoria, Tasmania, Northern Territory and New Zealand, all road users are covered if they are injured in a motor vehicle accident, regardless of who was at fault in the accident. In other places, such as New South Wales, Queensland, South Australia, Western Australia and the ACT, an injured person is only able to make a CTP claim if they can show that the motor vehicle accident was caused through the fault of another driver.</w:t>
      </w:r>
    </w:p>
    <w:p w:rsidR="00014915" w:rsidRPr="00014915" w:rsidRDefault="00014915" w:rsidP="00014915">
      <w:r>
        <w:t>If you are injured in a motor vehicle accident in NSW, and you can establish the fault of a driver, the insurance company will pay benefits, which need to be negotiated and will sometimes be reduced to the extent that the injured person contributed to their own injuries.</w:t>
      </w:r>
    </w:p>
    <w:p w:rsidR="00014915" w:rsidRDefault="00014915">
      <w:pPr>
        <w:adjustRightInd/>
        <w:snapToGrid/>
        <w:spacing w:after="0" w:line="240" w:lineRule="auto"/>
      </w:pPr>
      <w:r>
        <w:br w:type="page"/>
      </w:r>
    </w:p>
    <w:p w:rsidR="00014915" w:rsidRDefault="00014915" w:rsidP="003A781A">
      <w:pPr>
        <w:pStyle w:val="SectionHeadingNonToC"/>
        <w:framePr w:wrap="around"/>
      </w:pPr>
      <w:r w:rsidRPr="00014915">
        <w:lastRenderedPageBreak/>
        <w:t>The NSW Motor Accidents Compulsory Third Party (CTP) Scheme</w:t>
      </w:r>
    </w:p>
    <w:p w:rsidR="00014915" w:rsidRDefault="00014915" w:rsidP="00014915">
      <w:r>
        <w:t>Benefits under the CTP scheme include past and future medical, treatment and rehabilitation expenses, domestic assistance, past and future economic loss and for those who exceed a prescribed impairment threshold, damages for non-economic loss or ‘pain and suffering’. These are paid primarily as a lump sum, although some expenses are paid along the way including medical, rehabilitation and treatment services and domestic assistance. There are some limits placed on benefits in the legislation. Once the lump sum has been paid, no further claim can be made on the insurer.</w:t>
      </w:r>
    </w:p>
    <w:p w:rsidR="00014915" w:rsidRDefault="00014915" w:rsidP="00014915">
      <w:r>
        <w:t>The NSW CTP scheme also incorporates a Nominal Defendant scheme, which ensures that people injured in an accident where the vehicle at fault was uninsured or unidentified are still entitled to the same benefits as those covered by a valid Green Slip.</w:t>
      </w:r>
    </w:p>
    <w:p w:rsidR="00014915" w:rsidRDefault="00014915" w:rsidP="009D5F5C">
      <w:r>
        <w:t>CTP in NSW provides benefits of up to $5,000 irrespective of fault, through an early claim system called the Accident Notification Form (ANF).</w:t>
      </w:r>
    </w:p>
    <w:p w:rsidR="009D5F5C" w:rsidRDefault="009D5F5C" w:rsidP="009D5F5C">
      <w:r>
        <w:t>An exception to fault applies for ‘blameless accidents’, in which an injured person can make a full claim even if the driver that caused the accident is not technically ‘at fault’, and also for children under 16, who are entitled to claim treatment, rehabilitation and care costs, regardless of fault. CTP does not cover people who are injured by non-motorised or non-registrable vehicles, including bicycles.</w:t>
      </w:r>
    </w:p>
    <w:p w:rsidR="009D5F5C" w:rsidRDefault="009D5F5C" w:rsidP="009D5F5C">
      <w:r>
        <w:t>In addition, everyone injured in a motor vehicle accident in NSW can access public hospital and ambulance services free of charge because SIRA pays for these services in bulk, funded from a levy on each Green Slip.</w:t>
      </w:r>
    </w:p>
    <w:p w:rsidR="009D5F5C" w:rsidRDefault="009D5F5C" w:rsidP="009D5F5C">
      <w:r>
        <w:t>Those who are severely injured in a motor vehicle accident are covered under the Lifetime Care and Support (LTCS) scheme. The LTCS scheme provides lifetime medical, care and support services to people who have been catastrophically injured in a motor vehicle accident in NSW, regardless of who was at fault. The LTCS scheme is outside the scope of this review.</w:t>
      </w:r>
    </w:p>
    <w:p w:rsidR="00014915" w:rsidRDefault="009D5F5C" w:rsidP="009D5F5C">
      <w:r>
        <w:t>Under the CTP system, some claims can get resolved by either of SIRA’s dispute resolution services: the Medical Assessment Service (for disputes related to medical matters) or the Claims Assessment and Resolution Service (for claims disputes). Some claims will also be resolved through the courts.</w:t>
      </w:r>
    </w:p>
    <w:p w:rsidR="007C0F1C" w:rsidRDefault="007C0F1C" w:rsidP="009D5F5C"/>
    <w:p w:rsidR="003A0E19" w:rsidRDefault="003A0E19" w:rsidP="009D5F5C">
      <w:pPr>
        <w:sectPr w:rsidR="003A0E19" w:rsidSect="009C711B">
          <w:headerReference w:type="default" r:id="rId13"/>
          <w:footerReference w:type="default" r:id="rId14"/>
          <w:pgSz w:w="11906" w:h="16838" w:code="9"/>
          <w:pgMar w:top="765" w:right="851" w:bottom="1134" w:left="851" w:header="510" w:footer="397" w:gutter="0"/>
          <w:cols w:num="2" w:space="397"/>
          <w:docGrid w:linePitch="360"/>
        </w:sectPr>
      </w:pPr>
    </w:p>
    <w:p w:rsidR="007C0F1C" w:rsidRPr="00014915" w:rsidRDefault="007C0F1C" w:rsidP="009D5F5C"/>
    <w:p w:rsidR="008B42D3" w:rsidRDefault="008B42D3" w:rsidP="0021668D">
      <w:pPr>
        <w:pStyle w:val="SectionHeading"/>
        <w:framePr w:vSpace="0" w:wrap="around" w:anchorLock="0"/>
      </w:pPr>
      <w:bookmarkStart w:id="5" w:name="_Toc448404723"/>
      <w:r w:rsidRPr="00124F4C">
        <w:t>What should an effective</w:t>
      </w:r>
      <w:r w:rsidR="0021668D">
        <w:br/>
      </w:r>
      <w:r w:rsidRPr="00124F4C">
        <w:t>CTP scheme deliver?</w:t>
      </w:r>
      <w:bookmarkEnd w:id="5"/>
    </w:p>
    <w:p w:rsidR="007C0F1C" w:rsidRDefault="007C0F1C" w:rsidP="007C0F1C">
      <w:r>
        <w:t>The overall view emerging from the 2013 Green Slip Roundtable was that the scheme needed significant improvement. Since then, continuing community concern about difficulties in navigating the current claims process, the timeliness of benefits, rising Green Slip prices and other matters have reinforced the need to take another look at the CTP scheme.</w:t>
      </w:r>
    </w:p>
    <w:p w:rsidR="007C0F1C" w:rsidRDefault="007C0F1C" w:rsidP="007C0F1C">
      <w:r>
        <w:t xml:space="preserve">It is necessary to consider the guiding objectives for an effective CTP scheme. In this way, we can both measure the performance of the existing scheme and begin to develop reform options that are tailored to meeting the objectives. </w:t>
      </w:r>
    </w:p>
    <w:p w:rsidR="0021668D" w:rsidRDefault="0021668D" w:rsidP="007C0F1C">
      <w:r>
        <w:br w:type="column"/>
      </w:r>
    </w:p>
    <w:p w:rsidR="007C0F1C" w:rsidRDefault="007C0F1C" w:rsidP="007C0F1C">
      <w:r>
        <w:t>Based on the feedback the Government received through the 2013 Roundtable and other forums, the Government believes that any changes to the CTP scheme should achieve the following objectives:</w:t>
      </w:r>
    </w:p>
    <w:p w:rsidR="007C0F1C" w:rsidRDefault="007C0F1C" w:rsidP="007C0F1C">
      <w:pPr>
        <w:pStyle w:val="ListBullet"/>
      </w:pPr>
      <w:r>
        <w:t>increase the proportion of benefits provided to the most seriously injured road users</w:t>
      </w:r>
    </w:p>
    <w:p w:rsidR="007C0F1C" w:rsidRDefault="007C0F1C" w:rsidP="007C0F1C">
      <w:pPr>
        <w:pStyle w:val="ListBullet"/>
      </w:pPr>
      <w:r>
        <w:t>reduce the time it takes to resolve a claim</w:t>
      </w:r>
    </w:p>
    <w:p w:rsidR="007C0F1C" w:rsidRDefault="007C0F1C" w:rsidP="007C0F1C">
      <w:pPr>
        <w:pStyle w:val="ListBullet"/>
      </w:pPr>
      <w:r>
        <w:t>reduce opportunities for claims fraud and exaggeration</w:t>
      </w:r>
    </w:p>
    <w:p w:rsidR="007C0F1C" w:rsidRDefault="007C0F1C" w:rsidP="007C0F1C">
      <w:pPr>
        <w:pStyle w:val="ListBullet"/>
      </w:pPr>
      <w:proofErr w:type="gramStart"/>
      <w:r>
        <w:t>reduce</w:t>
      </w:r>
      <w:proofErr w:type="gramEnd"/>
      <w:r>
        <w:t xml:space="preserve"> the cost of Green Slip premiums.</w:t>
      </w:r>
    </w:p>
    <w:p w:rsidR="00974BDC" w:rsidRDefault="00974BDC">
      <w:pPr>
        <w:adjustRightInd/>
        <w:snapToGrid/>
        <w:spacing w:after="0" w:line="240" w:lineRule="auto"/>
      </w:pPr>
    </w:p>
    <w:p w:rsidR="00974BDC" w:rsidRDefault="00974BDC" w:rsidP="00974BDC">
      <w:pPr>
        <w:pStyle w:val="SectionHeading"/>
        <w:framePr w:wrap="around"/>
      </w:pPr>
      <w:bookmarkStart w:id="6" w:name="_Toc448404724"/>
      <w:r w:rsidRPr="00974BDC">
        <w:lastRenderedPageBreak/>
        <w:t>How is the current CTP scheme performing against these objectives?</w:t>
      </w:r>
      <w:bookmarkEnd w:id="6"/>
    </w:p>
    <w:p w:rsidR="00974BDC" w:rsidRDefault="00974BDC" w:rsidP="00974BDC">
      <w:r>
        <w:t xml:space="preserve">Outlined below is some information on how the current scheme is performing against each of the key objectives. This information suggests that we can do better in meeting those objectives, and this paper sets out some possible reform options for consideration to improve the scheme’s performance. </w:t>
      </w:r>
    </w:p>
    <w:p w:rsidR="00974BDC" w:rsidRDefault="00974BDC" w:rsidP="00974BDC">
      <w:pPr>
        <w:pStyle w:val="Heading1"/>
      </w:pPr>
      <w:bookmarkStart w:id="7" w:name="_Toc448404725"/>
      <w:r>
        <w:t>Proportion of benefits</w:t>
      </w:r>
      <w:bookmarkEnd w:id="7"/>
    </w:p>
    <w:p w:rsidR="00974BDC" w:rsidRDefault="00974BDC" w:rsidP="00974BDC">
      <w:r>
        <w:t>As Figure 1 illustrates (based on historical trends), injured people are receiving 45% of CTP scheme premiums. This does not include GST or the Lifetime Care and Support levy</w:t>
      </w:r>
      <w:r w:rsidR="000C6BCD">
        <w:rPr>
          <w:rStyle w:val="FootnoteReference"/>
        </w:rPr>
        <w:footnoteReference w:id="1"/>
      </w:r>
      <w:r>
        <w:t>. The remainder of funds go towards insurer expenses (15%), insurer profit (19%), legal and investigation expenses</w:t>
      </w:r>
      <w:r w:rsidR="000C6BCD">
        <w:rPr>
          <w:rStyle w:val="FootnoteReference"/>
        </w:rPr>
        <w:footnoteReference w:id="2"/>
      </w:r>
      <w:r>
        <w:t xml:space="preserve"> (18%), and other expenses involved in administering the scheme (3%).</w:t>
      </w:r>
    </w:p>
    <w:p w:rsidR="008C718A" w:rsidRDefault="00974BDC" w:rsidP="00974BDC">
      <w:r>
        <w:t xml:space="preserve">The relatively low proportion of scheme funds that go towards helping injured people is largely a result of scheme design. The NSW CTP scheme operates on a common law fault-based basis. The need to establish fault, including the extent to which various parties may have caused an accident, often requires a detailed investigation. </w:t>
      </w:r>
    </w:p>
    <w:tbl>
      <w:tblPr>
        <w:tblStyle w:val="PlaceholderGrid"/>
        <w:tblpPr w:leftFromText="181" w:rightFromText="181" w:topFromText="57" w:bottomFromText="170" w:vertAnchor="page" w:horzAnchor="page" w:tblpX="852" w:tblpYSpec="bottom"/>
        <w:tblOverlap w:val="never"/>
        <w:tblW w:w="10206" w:type="dxa"/>
        <w:tblLayout w:type="fixed"/>
        <w:tblCellMar>
          <w:top w:w="57" w:type="dxa"/>
          <w:right w:w="57" w:type="dxa"/>
        </w:tblCellMar>
        <w:tblLook w:val="04A0" w:firstRow="1" w:lastRow="0" w:firstColumn="1" w:lastColumn="0" w:noHBand="0" w:noVBand="1"/>
        <w:tblCaption w:val="Chart placeholder grid"/>
      </w:tblPr>
      <w:tblGrid>
        <w:gridCol w:w="10206"/>
      </w:tblGrid>
      <w:tr w:rsidR="003167E6" w:rsidRPr="000C6BCD" w:rsidTr="00A75E12">
        <w:trPr>
          <w:trHeight w:hRule="exact" w:val="4026"/>
          <w:tblHeader/>
        </w:trPr>
        <w:tc>
          <w:tcPr>
            <w:tcW w:w="10206" w:type="dxa"/>
            <w:vAlign w:val="center"/>
          </w:tcPr>
          <w:p w:rsidR="003167E6" w:rsidRPr="000C6BCD" w:rsidRDefault="003167E6" w:rsidP="00A75E12">
            <w:pPr>
              <w:jc w:val="center"/>
              <w:rPr>
                <w:noProof/>
                <w:highlight w:val="yellow"/>
              </w:rPr>
            </w:pPr>
            <w:r>
              <w:rPr>
                <w:noProof/>
                <w:lang w:eastAsia="en-AU"/>
              </w:rPr>
              <w:drawing>
                <wp:inline distT="0" distB="0" distL="0" distR="0" wp14:anchorId="4AEB1835" wp14:editId="380C9753">
                  <wp:extent cx="4858247" cy="2365357"/>
                  <wp:effectExtent l="0" t="0" r="0" b="0"/>
                  <wp:docPr id="9" name="Picture 9" title="Figure 1: Whre the premium is s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TP Reform Brochure_V4.png"/>
                          <pic:cNvPicPr/>
                        </pic:nvPicPr>
                        <pic:blipFill>
                          <a:blip r:embed="rId15">
                            <a:extLst>
                              <a:ext uri="{28A0092B-C50C-407E-A947-70E740481C1C}">
                                <a14:useLocalDpi xmlns:a14="http://schemas.microsoft.com/office/drawing/2010/main" val="0"/>
                              </a:ext>
                            </a:extLst>
                          </a:blip>
                          <a:stretch>
                            <a:fillRect/>
                          </a:stretch>
                        </pic:blipFill>
                        <pic:spPr>
                          <a:xfrm>
                            <a:off x="0" y="0"/>
                            <a:ext cx="4858248" cy="2365357"/>
                          </a:xfrm>
                          <a:prstGeom prst="rect">
                            <a:avLst/>
                          </a:prstGeom>
                        </pic:spPr>
                      </pic:pic>
                    </a:graphicData>
                  </a:graphic>
                </wp:inline>
              </w:drawing>
            </w:r>
          </w:p>
        </w:tc>
      </w:tr>
      <w:tr w:rsidR="003167E6" w:rsidRPr="000C6BCD" w:rsidTr="00A75E12">
        <w:trPr>
          <w:trHeight w:hRule="exact" w:val="3232"/>
        </w:trPr>
        <w:tc>
          <w:tcPr>
            <w:tcW w:w="10206" w:type="dxa"/>
            <w:shd w:val="clear" w:color="auto" w:fill="auto"/>
            <w:vAlign w:val="center"/>
          </w:tcPr>
          <w:p w:rsidR="003167E6" w:rsidRDefault="003167E6" w:rsidP="00A75E12">
            <w:pPr>
              <w:jc w:val="center"/>
              <w:rPr>
                <w:noProof/>
                <w:lang w:eastAsia="en-AU"/>
              </w:rPr>
            </w:pPr>
          </w:p>
        </w:tc>
      </w:tr>
    </w:tbl>
    <w:p w:rsidR="008A0B9B" w:rsidRDefault="008A0B9B" w:rsidP="00974BDC"/>
    <w:p w:rsidR="00974BDC" w:rsidRDefault="00974BDC" w:rsidP="00974BDC">
      <w:r>
        <w:t xml:space="preserve">Those claiming benefits, the insurer and other parties will usually require the assistance of legal professionals in contesting the claimant’s entitlements and negotiating all aspects of the claim. This sometimes also requires the involvement of SIRA’s assessment services and/or the courts before settlement can be reached. While the assessment and dispute resolution services are designed to enable injured people to seek the maximum benefits according to their stated needs, it is often an expensive and time consuming process. </w:t>
      </w:r>
    </w:p>
    <w:p w:rsidR="003F7C2A" w:rsidRDefault="00974BDC" w:rsidP="00047ED9">
      <w:r>
        <w:t>In addition to incurring significant costs, this process can generate uncertainty for insurers as payments for comparative like-for-like injuries are often different and made many years after the premium is calculated and collected. As a result, insurers factor in the risk of uncertainty when setting premiums which is leading to higher prices in the short term and higher levels of profits when claims are finally settled. This has led to the present situation where 19% of a CTP premium is on average a profit for the insurance company.</w:t>
      </w:r>
    </w:p>
    <w:p w:rsidR="00047ED9" w:rsidRDefault="00047ED9" w:rsidP="00047ED9">
      <w:r>
        <w:br w:type="page"/>
      </w:r>
    </w:p>
    <w:p w:rsidR="00131883" w:rsidRDefault="005C0CE7" w:rsidP="00325A69">
      <w:pPr>
        <w:pStyle w:val="SectionHeadingNonToC"/>
        <w:framePr w:wrap="around"/>
      </w:pPr>
      <w:r w:rsidRPr="005C0CE7">
        <w:lastRenderedPageBreak/>
        <w:t>How is the current CTP scheme performing against these objectives?</w:t>
      </w:r>
    </w:p>
    <w:p w:rsidR="005C0CE7" w:rsidRDefault="008F7343" w:rsidP="005C0CE7">
      <w:pPr>
        <w:pStyle w:val="Heading1"/>
      </w:pPr>
      <w:bookmarkStart w:id="8" w:name="_Toc448404726"/>
      <w:r w:rsidRPr="008F7343">
        <w:t>Timeliness of payments</w:t>
      </w:r>
      <w:bookmarkEnd w:id="8"/>
    </w:p>
    <w:p w:rsidR="008F7343" w:rsidRDefault="008F7343" w:rsidP="008F7343">
      <w:r>
        <w:t>Compared to similar schemes, our CTP scheme takes a longer time to pay out benefits to claimants. In NSW, the majority of payments are made between three and five years after the accident. This is much longer than statutory benefit schemes where payments start almost immediately after a claim is made.</w:t>
      </w:r>
    </w:p>
    <w:p w:rsidR="008F7343" w:rsidRDefault="008F7343" w:rsidP="008F7343">
      <w:r>
        <w:t>While incurred expenses for medical, rehabilitation and treatment services and domestic assistance are generally paid as incurred, payment of significant expenses including lost income, future treatment, rehabilitation and care are paid in a lump sum at the finalisation of the claim.</w:t>
      </w:r>
    </w:p>
    <w:p w:rsidR="008F7343" w:rsidRDefault="008F7343" w:rsidP="008F7343">
      <w:r>
        <w:t>In Victoria, which has a no-fault CTP scheme, significantly more is paid to injured people within the first two years after injury. Figure 2 illustrates the lag of the NSW CTP scheme compared to the NSW workers compensation and the Victorian CTP schemes.</w:t>
      </w:r>
    </w:p>
    <w:p w:rsidR="003167E6" w:rsidRDefault="008F7343" w:rsidP="008F7343">
      <w:r>
        <w:t xml:space="preserve">As highlighted in Figure 2, common law fault-based schemes, such as the NSW CTP scheme, have in-built delays in payments because of the need to establish fault, negotiate entitlement and agree on a settlement amount. </w:t>
      </w:r>
      <w:r w:rsidR="006A5BFB">
        <w:t xml:space="preserve"> </w:t>
      </w:r>
    </w:p>
    <w:tbl>
      <w:tblPr>
        <w:tblStyle w:val="PlaceholderGrid"/>
        <w:tblpPr w:leftFromText="181" w:rightFromText="181" w:topFromText="170" w:bottomFromText="1134" w:vertAnchor="text" w:horzAnchor="page" w:tblpX="852" w:tblpY="285"/>
        <w:tblOverlap w:val="never"/>
        <w:tblW w:w="10056" w:type="dxa"/>
        <w:tblLayout w:type="fixed"/>
        <w:tblCellMar>
          <w:top w:w="28" w:type="dxa"/>
          <w:right w:w="28" w:type="dxa"/>
        </w:tblCellMar>
        <w:tblLook w:val="04A0" w:firstRow="1" w:lastRow="0" w:firstColumn="1" w:lastColumn="0" w:noHBand="0" w:noVBand="1"/>
        <w:tblCaption w:val="Chart placeholder grid"/>
      </w:tblPr>
      <w:tblGrid>
        <w:gridCol w:w="10056"/>
      </w:tblGrid>
      <w:tr w:rsidR="003167E6" w:rsidTr="00A75E12">
        <w:trPr>
          <w:trHeight w:val="3685"/>
          <w:tblHeader/>
        </w:trPr>
        <w:tc>
          <w:tcPr>
            <w:tcW w:w="10056" w:type="dxa"/>
            <w:vAlign w:val="center"/>
          </w:tcPr>
          <w:p w:rsidR="003167E6" w:rsidRDefault="003167E6" w:rsidP="00A75E12">
            <w:pPr>
              <w:jc w:val="center"/>
              <w:rPr>
                <w:noProof/>
              </w:rPr>
            </w:pPr>
            <w:r>
              <w:rPr>
                <w:noProof/>
                <w:lang w:eastAsia="en-AU"/>
              </w:rPr>
              <w:drawing>
                <wp:inline distT="0" distB="0" distL="0" distR="0" wp14:anchorId="56161E79" wp14:editId="299BE133">
                  <wp:extent cx="6192151" cy="29883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CTP Reform Brochure_V4.png"/>
                          <pic:cNvPicPr/>
                        </pic:nvPicPr>
                        <pic:blipFill>
                          <a:blip r:embed="rId16">
                            <a:extLst>
                              <a:ext uri="{28A0092B-C50C-407E-A947-70E740481C1C}">
                                <a14:useLocalDpi xmlns:a14="http://schemas.microsoft.com/office/drawing/2010/main" val="0"/>
                              </a:ext>
                            </a:extLst>
                          </a:blip>
                          <a:stretch>
                            <a:fillRect/>
                          </a:stretch>
                        </pic:blipFill>
                        <pic:spPr>
                          <a:xfrm>
                            <a:off x="0" y="0"/>
                            <a:ext cx="6192151" cy="2988310"/>
                          </a:xfrm>
                          <a:prstGeom prst="rect">
                            <a:avLst/>
                          </a:prstGeom>
                        </pic:spPr>
                      </pic:pic>
                    </a:graphicData>
                  </a:graphic>
                </wp:inline>
              </w:drawing>
            </w:r>
          </w:p>
        </w:tc>
      </w:tr>
    </w:tbl>
    <w:p w:rsidR="008F7343" w:rsidRDefault="008F7343" w:rsidP="008F7343">
      <w:r>
        <w:t>Delays to payments can mean that the injured person does not get support when they most need it. There is strong evidence that the length of time to resolve claims has a detrimental impact on injured people, who will not be encouraged to return to work and other activities because this may reduce their final claim. There is also further evidence, backed up by surveys of injured people conducted by SIRA, that injured people overall have a poor experience of the scheme</w:t>
      </w:r>
      <w:r w:rsidR="0020430C">
        <w:rPr>
          <w:rStyle w:val="FootnoteReference"/>
        </w:rPr>
        <w:footnoteReference w:id="3"/>
      </w:r>
      <w:r>
        <w:t xml:space="preserve">, primarily because of the processes that must be undertaken before lump sum settlement is determined. </w:t>
      </w:r>
    </w:p>
    <w:p w:rsidR="005630DA" w:rsidRPr="008F7343" w:rsidRDefault="008F7343" w:rsidP="008F7343">
      <w:r>
        <w:t>However, the trade-off for timeliness is the sense that all aspects of the claim are examined and that the injured person is able to seek the maximum benefit they need or can obtain, even though they may not have access to benefits at the point in time they incur their expenses. In NSW, with many insurance claims taking several years to resolve, it is not clear that the length of the claims process can be justified, even within the context of an at-fault, common law system.</w:t>
      </w:r>
    </w:p>
    <w:p w:rsidR="00B24BA1" w:rsidRDefault="00B24BA1">
      <w:pPr>
        <w:adjustRightInd/>
        <w:snapToGrid/>
        <w:spacing w:after="0" w:line="240" w:lineRule="auto"/>
      </w:pPr>
      <w:r>
        <w:br w:type="page"/>
      </w:r>
    </w:p>
    <w:p w:rsidR="00B24BA1" w:rsidRDefault="0020430C" w:rsidP="00325A69">
      <w:pPr>
        <w:pStyle w:val="SectionHeadingNonToC"/>
        <w:framePr w:wrap="around"/>
      </w:pPr>
      <w:r w:rsidRPr="0020430C">
        <w:lastRenderedPageBreak/>
        <w:t>How is the current CTP scheme performing against these objectives?</w:t>
      </w:r>
    </w:p>
    <w:p w:rsidR="0020430C" w:rsidRDefault="0020430C" w:rsidP="0020430C">
      <w:pPr>
        <w:pStyle w:val="Heading1"/>
      </w:pPr>
      <w:bookmarkStart w:id="9" w:name="_Toc448404727"/>
      <w:r>
        <w:t>Scheme integrity</w:t>
      </w:r>
      <w:bookmarkEnd w:id="9"/>
    </w:p>
    <w:p w:rsidR="0020430C" w:rsidRDefault="0020430C" w:rsidP="0020430C">
      <w:r>
        <w:t>Compensation systems can be prone to fraudulent behaviour, exaggeration or embellishment of claims in order to maximise payments. Embellishment or exaggeration of a claim may be on the part of the claimant, or a willingness of service providers to assist in building the case. Lump sum systems typically can create a greater incentive for fraudulent behaviour, though weekly benefit systems also suffer from people who seek to remain on benefits for longer than they should.</w:t>
      </w:r>
    </w:p>
    <w:p w:rsidR="0020430C" w:rsidRDefault="0020430C" w:rsidP="0020430C">
      <w:r>
        <w:t>The Insurance Fraud Bureau of Australia estimates up to 10% of all insurance claims could include some level of fraud</w:t>
      </w:r>
      <w:r w:rsidR="00D74098">
        <w:rPr>
          <w:rStyle w:val="FootnoteReference"/>
        </w:rPr>
        <w:footnoteReference w:id="4"/>
      </w:r>
      <w:r>
        <w:t xml:space="preserve">. Additional costs arising from such fraud are passed on to vehicle owners in the form of increased Green Slip prices. As the table below shows, the NSW CTP scheme has among the lowest penalties for fraud of any CTP scheme in Australia. </w:t>
      </w:r>
    </w:p>
    <w:p w:rsidR="0020430C" w:rsidRDefault="0020430C" w:rsidP="0020430C">
      <w:r>
        <w:t>Some recent examples of fraud and claims exaggerat</w:t>
      </w:r>
      <w:r w:rsidR="00867EE1">
        <w:t xml:space="preserve">ion that have been seen in the </w:t>
      </w:r>
      <w:r>
        <w:t>scheme include:</w:t>
      </w:r>
    </w:p>
    <w:p w:rsidR="0020430C" w:rsidRDefault="0020430C" w:rsidP="00867EE1">
      <w:pPr>
        <w:pStyle w:val="ListBullet"/>
      </w:pPr>
      <w:r>
        <w:t>claims for future lost income and significant future expenses for young children involved in low speed collisions</w:t>
      </w:r>
    </w:p>
    <w:p w:rsidR="0020430C" w:rsidRDefault="0020430C" w:rsidP="00867EE1">
      <w:pPr>
        <w:pStyle w:val="ListBullet"/>
      </w:pPr>
      <w:r>
        <w:t>injured people with minor injuries who after treatment were keen to return to work but were advised that they would probably get a smaller settlement if they did</w:t>
      </w:r>
    </w:p>
    <w:p w:rsidR="0051722E" w:rsidRDefault="0051722E" w:rsidP="0051722E">
      <w:pPr>
        <w:pStyle w:val="ListBullet"/>
        <w:numPr>
          <w:ilvl w:val="0"/>
          <w:numId w:val="0"/>
        </w:numPr>
      </w:pPr>
    </w:p>
    <w:tbl>
      <w:tblPr>
        <w:tblStyle w:val="TransurbanTable"/>
        <w:tblpPr w:leftFromText="181" w:rightFromText="181" w:bottomFromText="113" w:vertAnchor="text" w:horzAnchor="page" w:tblpX="852" w:tblpY="58"/>
        <w:tblOverlap w:val="never"/>
        <w:tblW w:w="10206" w:type="dxa"/>
        <w:tblLayout w:type="fixed"/>
        <w:tblLook w:val="01E0" w:firstRow="1" w:lastRow="1" w:firstColumn="1" w:lastColumn="1" w:noHBand="0" w:noVBand="0"/>
        <w:tblCaption w:val="Maximum penalty for each state"/>
      </w:tblPr>
      <w:tblGrid>
        <w:gridCol w:w="1701"/>
        <w:gridCol w:w="1560"/>
        <w:gridCol w:w="1701"/>
        <w:gridCol w:w="1701"/>
        <w:gridCol w:w="1701"/>
        <w:gridCol w:w="1842"/>
      </w:tblGrid>
      <w:tr w:rsidR="00D63988" w:rsidRPr="003A4EBF" w:rsidTr="009153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Borders>
              <w:top w:val="nil"/>
              <w:bottom w:val="single" w:sz="18" w:space="0" w:color="FFFFFF" w:themeColor="background1"/>
            </w:tcBorders>
            <w:shd w:val="clear" w:color="auto" w:fill="auto"/>
          </w:tcPr>
          <w:p w:rsidR="00D63988" w:rsidRPr="00484AF9" w:rsidRDefault="00D63988" w:rsidP="00A4001A">
            <w:pPr>
              <w:pStyle w:val="TableHeading"/>
            </w:pPr>
          </w:p>
        </w:tc>
        <w:tc>
          <w:tcPr>
            <w:tcW w:w="764" w:type="pct"/>
          </w:tcPr>
          <w:p w:rsidR="00D63988" w:rsidRPr="00D63988" w:rsidRDefault="00D63988" w:rsidP="00D63988">
            <w:pPr>
              <w:pStyle w:val="TableHeading"/>
              <w:cnfStyle w:val="100000000000" w:firstRow="1" w:lastRow="0" w:firstColumn="0" w:lastColumn="0" w:oddVBand="0" w:evenVBand="0" w:oddHBand="0" w:evenHBand="0" w:firstRowFirstColumn="0" w:firstRowLastColumn="0" w:lastRowFirstColumn="0" w:lastRowLastColumn="0"/>
            </w:pPr>
            <w:r w:rsidRPr="00D63988">
              <w:t>NSW</w:t>
            </w:r>
          </w:p>
        </w:tc>
        <w:tc>
          <w:tcPr>
            <w:tcW w:w="833" w:type="pct"/>
          </w:tcPr>
          <w:p w:rsidR="00D63988" w:rsidRPr="00D63988" w:rsidRDefault="00D63988" w:rsidP="00D63988">
            <w:pPr>
              <w:pStyle w:val="TableHeading"/>
              <w:cnfStyle w:val="100000000000" w:firstRow="1" w:lastRow="0" w:firstColumn="0" w:lastColumn="0" w:oddVBand="0" w:evenVBand="0" w:oddHBand="0" w:evenHBand="0" w:firstRowFirstColumn="0" w:firstRowLastColumn="0" w:lastRowFirstColumn="0" w:lastRowLastColumn="0"/>
            </w:pPr>
            <w:r w:rsidRPr="00D63988">
              <w:t>QLD</w:t>
            </w:r>
          </w:p>
        </w:tc>
        <w:tc>
          <w:tcPr>
            <w:tcW w:w="833" w:type="pct"/>
          </w:tcPr>
          <w:p w:rsidR="00D63988" w:rsidRPr="00D63988" w:rsidRDefault="00D63988" w:rsidP="00D63988">
            <w:pPr>
              <w:pStyle w:val="TableHeading"/>
              <w:cnfStyle w:val="100000000000" w:firstRow="1" w:lastRow="0" w:firstColumn="0" w:lastColumn="0" w:oddVBand="0" w:evenVBand="0" w:oddHBand="0" w:evenHBand="0" w:firstRowFirstColumn="0" w:firstRowLastColumn="0" w:lastRowFirstColumn="0" w:lastRowLastColumn="0"/>
            </w:pPr>
            <w:r w:rsidRPr="00D63988">
              <w:t>ACT</w:t>
            </w:r>
          </w:p>
        </w:tc>
        <w:tc>
          <w:tcPr>
            <w:tcW w:w="833" w:type="pct"/>
          </w:tcPr>
          <w:p w:rsidR="00D63988" w:rsidRPr="00D63988" w:rsidRDefault="00D63988" w:rsidP="00D63988">
            <w:pPr>
              <w:pStyle w:val="TableHeading"/>
              <w:cnfStyle w:val="100000000000" w:firstRow="1" w:lastRow="0" w:firstColumn="0" w:lastColumn="0" w:oddVBand="0" w:evenVBand="0" w:oddHBand="0" w:evenHBand="0" w:firstRowFirstColumn="0" w:firstRowLastColumn="0" w:lastRowFirstColumn="0" w:lastRowLastColumn="0"/>
            </w:pPr>
            <w:r w:rsidRPr="00D63988">
              <w:t>VIC</w:t>
            </w:r>
          </w:p>
        </w:tc>
        <w:tc>
          <w:tcPr>
            <w:tcW w:w="902" w:type="pct"/>
          </w:tcPr>
          <w:p w:rsidR="00D63988" w:rsidRPr="00D63988" w:rsidRDefault="00D63988" w:rsidP="00D63988">
            <w:pPr>
              <w:pStyle w:val="TableHeading"/>
              <w:cnfStyle w:val="100000000000" w:firstRow="1" w:lastRow="0" w:firstColumn="0" w:lastColumn="0" w:oddVBand="0" w:evenVBand="0" w:oddHBand="0" w:evenHBand="0" w:firstRowFirstColumn="0" w:firstRowLastColumn="0" w:lastRowFirstColumn="0" w:lastRowLastColumn="0"/>
            </w:pPr>
            <w:r>
              <w:t>SA</w:t>
            </w:r>
          </w:p>
        </w:tc>
      </w:tr>
      <w:tr w:rsidR="00D63988" w:rsidRPr="003A4EBF" w:rsidTr="00886977">
        <w:tc>
          <w:tcPr>
            <w:cnfStyle w:val="001000000000" w:firstRow="0" w:lastRow="0" w:firstColumn="1" w:lastColumn="0" w:oddVBand="0" w:evenVBand="0" w:oddHBand="0" w:evenHBand="0" w:firstRowFirstColumn="0" w:firstRowLastColumn="0" w:lastRowFirstColumn="0" w:lastRowLastColumn="0"/>
            <w:tcW w:w="833" w:type="pct"/>
            <w:tcBorders>
              <w:top w:val="single" w:sz="18" w:space="0" w:color="FFFFFF" w:themeColor="background1"/>
            </w:tcBorders>
          </w:tcPr>
          <w:p w:rsidR="00D63988" w:rsidRPr="00D63988" w:rsidRDefault="00D63988" w:rsidP="00D63988">
            <w:pPr>
              <w:pStyle w:val="TableHeading"/>
            </w:pPr>
            <w:r w:rsidRPr="00D63988">
              <w:rPr>
                <w:rFonts w:eastAsia="SimSun"/>
              </w:rPr>
              <w:t xml:space="preserve">Maximum </w:t>
            </w:r>
            <w:r w:rsidR="00886977">
              <w:rPr>
                <w:rFonts w:eastAsia="SimSun"/>
              </w:rPr>
              <w:br/>
            </w:r>
            <w:r w:rsidRPr="00D63988">
              <w:rPr>
                <w:rFonts w:eastAsia="SimSun"/>
              </w:rPr>
              <w:t>penalty</w:t>
            </w:r>
          </w:p>
        </w:tc>
        <w:tc>
          <w:tcPr>
            <w:tcW w:w="764" w:type="pct"/>
          </w:tcPr>
          <w:p w:rsidR="00D63988" w:rsidRPr="00D63988" w:rsidRDefault="00D63988" w:rsidP="00D63988">
            <w:pPr>
              <w:pStyle w:val="TableText"/>
              <w:cnfStyle w:val="000000000000" w:firstRow="0" w:lastRow="0" w:firstColumn="0" w:lastColumn="0" w:oddVBand="0" w:evenVBand="0" w:oddHBand="0" w:evenHBand="0" w:firstRowFirstColumn="0" w:firstRowLastColumn="0" w:lastRowFirstColumn="0" w:lastRowLastColumn="0"/>
            </w:pPr>
            <w:r w:rsidRPr="00D63988">
              <w:t xml:space="preserve">$5,500 and/or </w:t>
            </w:r>
            <w:r>
              <w:br/>
            </w:r>
            <w:r w:rsidRPr="00D63988">
              <w:t>12 months imprisonment</w:t>
            </w:r>
          </w:p>
        </w:tc>
        <w:tc>
          <w:tcPr>
            <w:tcW w:w="833" w:type="pct"/>
          </w:tcPr>
          <w:p w:rsidR="00D63988" w:rsidRPr="00D63988" w:rsidRDefault="00D63988" w:rsidP="00D63988">
            <w:pPr>
              <w:pStyle w:val="TableText"/>
              <w:cnfStyle w:val="000000000000" w:firstRow="0" w:lastRow="0" w:firstColumn="0" w:lastColumn="0" w:oddVBand="0" w:evenVBand="0" w:oddHBand="0" w:evenHBand="0" w:firstRowFirstColumn="0" w:firstRowLastColumn="0" w:lastRowFirstColumn="0" w:lastRowLastColumn="0"/>
            </w:pPr>
            <w:r w:rsidRPr="00D63988">
              <w:t xml:space="preserve">$44,000 or </w:t>
            </w:r>
            <w:r>
              <w:br/>
            </w:r>
            <w:r w:rsidRPr="00D63988">
              <w:t>18 months imprisonment</w:t>
            </w:r>
          </w:p>
        </w:tc>
        <w:tc>
          <w:tcPr>
            <w:tcW w:w="833" w:type="pct"/>
          </w:tcPr>
          <w:p w:rsidR="00D63988" w:rsidRPr="00D63988" w:rsidRDefault="00D63988" w:rsidP="00D63988">
            <w:pPr>
              <w:pStyle w:val="TableText"/>
              <w:cnfStyle w:val="000000000000" w:firstRow="0" w:lastRow="0" w:firstColumn="0" w:lastColumn="0" w:oddVBand="0" w:evenVBand="0" w:oddHBand="0" w:evenHBand="0" w:firstRowFirstColumn="0" w:firstRowLastColumn="0" w:lastRowFirstColumn="0" w:lastRowLastColumn="0"/>
            </w:pPr>
            <w:r w:rsidRPr="00D63988">
              <w:t xml:space="preserve">$15,000 and/or </w:t>
            </w:r>
            <w:r>
              <w:br/>
            </w:r>
            <w:r w:rsidRPr="00D63988">
              <w:t>12 months imprisonment</w:t>
            </w:r>
          </w:p>
        </w:tc>
        <w:tc>
          <w:tcPr>
            <w:tcW w:w="833" w:type="pct"/>
          </w:tcPr>
          <w:p w:rsidR="00D63988" w:rsidRPr="00D63988" w:rsidRDefault="00D63988" w:rsidP="00D63988">
            <w:pPr>
              <w:pStyle w:val="TableText"/>
              <w:cnfStyle w:val="000000000000" w:firstRow="0" w:lastRow="0" w:firstColumn="0" w:lastColumn="0" w:oddVBand="0" w:evenVBand="0" w:oddHBand="0" w:evenHBand="0" w:firstRowFirstColumn="0" w:firstRowLastColumn="0" w:lastRowFirstColumn="0" w:lastRowLastColumn="0"/>
            </w:pPr>
            <w:r w:rsidRPr="00D63988">
              <w:t xml:space="preserve">$15,167 or </w:t>
            </w:r>
            <w:r>
              <w:br/>
            </w:r>
            <w:r w:rsidRPr="00D63988">
              <w:t>24 months imprisonment</w:t>
            </w:r>
          </w:p>
        </w:tc>
        <w:tc>
          <w:tcPr>
            <w:tcW w:w="902" w:type="pct"/>
          </w:tcPr>
          <w:p w:rsidR="00D63988" w:rsidRPr="00D63988" w:rsidRDefault="00D63988" w:rsidP="00D63988">
            <w:pPr>
              <w:pStyle w:val="TableText"/>
              <w:cnfStyle w:val="000000000000" w:firstRow="0" w:lastRow="0" w:firstColumn="0" w:lastColumn="0" w:oddVBand="0" w:evenVBand="0" w:oddHBand="0" w:evenHBand="0" w:firstRowFirstColumn="0" w:firstRowLastColumn="0" w:lastRowFirstColumn="0" w:lastRowLastColumn="0"/>
            </w:pPr>
            <w:r w:rsidRPr="00D63988">
              <w:t xml:space="preserve">$50,000 or </w:t>
            </w:r>
            <w:r>
              <w:br/>
            </w:r>
            <w:r w:rsidRPr="00D63988">
              <w:t>12 months imprisonment</w:t>
            </w:r>
          </w:p>
        </w:tc>
      </w:tr>
    </w:tbl>
    <w:p w:rsidR="0020430C" w:rsidRDefault="00EF57A4" w:rsidP="00867EE1">
      <w:pPr>
        <w:pStyle w:val="ListBullet"/>
      </w:pPr>
      <w:r>
        <w:br w:type="column"/>
      </w:r>
      <w:r w:rsidR="0020430C">
        <w:t>claims for young children, some under 12 months of age, from minor accidents seeking compensation for psychological injuries evidenced by crying and bed wetting</w:t>
      </w:r>
    </w:p>
    <w:p w:rsidR="0020430C" w:rsidRDefault="0020430C" w:rsidP="00867EE1">
      <w:pPr>
        <w:pStyle w:val="ListBullet"/>
      </w:pPr>
      <w:r>
        <w:t>low speed collisions where the extent of injuries c</w:t>
      </w:r>
      <w:r w:rsidR="00867EE1">
        <w:t xml:space="preserve">laimed far exceeded what would </w:t>
      </w:r>
      <w:r>
        <w:t>be expected considering the damage to the vehicle</w:t>
      </w:r>
    </w:p>
    <w:p w:rsidR="0020430C" w:rsidRDefault="0020430C" w:rsidP="00867EE1">
      <w:pPr>
        <w:pStyle w:val="ListBullet"/>
      </w:pPr>
      <w:r>
        <w:t>people claiming to be passengers in vehicles involved in motor vehicle accidents, with further investigation to show t</w:t>
      </w:r>
      <w:r w:rsidR="00867EE1">
        <w:t xml:space="preserve">hey were not </w:t>
      </w:r>
      <w:r>
        <w:t>in the vehicle at the time</w:t>
      </w:r>
    </w:p>
    <w:p w:rsidR="0020430C" w:rsidRDefault="0020430C" w:rsidP="00867EE1">
      <w:pPr>
        <w:pStyle w:val="ListBullet"/>
      </w:pPr>
      <w:r>
        <w:t xml:space="preserve">claims for future lost income for high paying jobs, where investigation by the insurer has shown irregular work histories or no offer of a new job </w:t>
      </w:r>
    </w:p>
    <w:p w:rsidR="0020430C" w:rsidRDefault="0020430C" w:rsidP="00867EE1">
      <w:pPr>
        <w:pStyle w:val="ListBullet"/>
      </w:pPr>
      <w:r>
        <w:t>staged accidents involving multiple vehicles</w:t>
      </w:r>
    </w:p>
    <w:p w:rsidR="0020430C" w:rsidRDefault="0020430C" w:rsidP="00867EE1">
      <w:pPr>
        <w:pStyle w:val="ListBullet"/>
      </w:pPr>
      <w:r>
        <w:t>numerous claims from the same area with identical injuries and claim details</w:t>
      </w:r>
    </w:p>
    <w:p w:rsidR="0020430C" w:rsidRDefault="0020430C" w:rsidP="00867EE1">
      <w:pPr>
        <w:pStyle w:val="ListBullet"/>
      </w:pPr>
      <w:proofErr w:type="gramStart"/>
      <w:r>
        <w:t>claims</w:t>
      </w:r>
      <w:proofErr w:type="gramEnd"/>
      <w:r>
        <w:t xml:space="preserve"> for injuries not caused by the accident or exaggeration of injuries that were.</w:t>
      </w:r>
    </w:p>
    <w:p w:rsidR="0020430C" w:rsidRPr="0020430C" w:rsidRDefault="0020430C" w:rsidP="0020430C">
      <w:r>
        <w:t>We must demonstrate that there is zero tolerance for fraudulent or unethical behaviours in the CTP scheme, and legislative changes may be needed to ensure the regulator has the appropriate powers to deal with incidents of fraud. The Government has announced the formation of a CTP Fraud Taskforce to address this issue.</w:t>
      </w:r>
    </w:p>
    <w:p w:rsidR="00D74098" w:rsidRDefault="00D74098">
      <w:pPr>
        <w:adjustRightInd/>
        <w:snapToGrid/>
        <w:spacing w:after="0" w:line="240" w:lineRule="auto"/>
      </w:pPr>
      <w:r>
        <w:br w:type="page"/>
      </w:r>
    </w:p>
    <w:p w:rsidR="00D74098" w:rsidRDefault="00D74098" w:rsidP="00325A69">
      <w:pPr>
        <w:pStyle w:val="SectionHeadingNonToC"/>
        <w:framePr w:wrap="around"/>
      </w:pPr>
      <w:r w:rsidRPr="00D74098">
        <w:lastRenderedPageBreak/>
        <w:t>How is the current CTP scheme performing against these objectives?</w:t>
      </w:r>
    </w:p>
    <w:p w:rsidR="00D74098" w:rsidRDefault="00D74098" w:rsidP="00D74098">
      <w:pPr>
        <w:pStyle w:val="Heading1"/>
      </w:pPr>
      <w:bookmarkStart w:id="10" w:name="_Toc448404728"/>
      <w:r>
        <w:t>Affordability</w:t>
      </w:r>
      <w:bookmarkEnd w:id="10"/>
    </w:p>
    <w:p w:rsidR="00BE1136" w:rsidRDefault="00D74098" w:rsidP="00D74098">
      <w:r>
        <w:t xml:space="preserve">Green Slip prices for all vehicles across NSW are increasing dramatically. Based on recent claims trends and costs, which are not yet reflected in current prices paid by all NSW motorists, long term price rises are expected and are forecast to be as much as </w:t>
      </w:r>
      <w:r w:rsidR="00BE1136">
        <w:t>20% or around $100 in the coming year.</w:t>
      </w:r>
    </w:p>
    <w:p w:rsidR="00BE1136" w:rsidRDefault="00BE1136" w:rsidP="00D74098"/>
    <w:tbl>
      <w:tblPr>
        <w:tblStyle w:val="PlaceholderGrid"/>
        <w:tblpPr w:leftFromText="181" w:rightFromText="181" w:topFromText="170" w:bottomFromText="170" w:vertAnchor="text" w:horzAnchor="page" w:tblpX="852" w:tblpY="-56"/>
        <w:tblOverlap w:val="never"/>
        <w:tblW w:w="10206" w:type="dxa"/>
        <w:tblLayout w:type="fixed"/>
        <w:tblLook w:val="04A0" w:firstRow="1" w:lastRow="0" w:firstColumn="1" w:lastColumn="0" w:noHBand="0" w:noVBand="1"/>
        <w:tblCaption w:val="Chart placeholder grid"/>
      </w:tblPr>
      <w:tblGrid>
        <w:gridCol w:w="10206"/>
      </w:tblGrid>
      <w:tr w:rsidR="00EF57A4" w:rsidTr="00915367">
        <w:trPr>
          <w:trHeight w:val="3740"/>
          <w:tblHeader/>
        </w:trPr>
        <w:tc>
          <w:tcPr>
            <w:tcW w:w="10206" w:type="dxa"/>
            <w:vAlign w:val="center"/>
          </w:tcPr>
          <w:p w:rsidR="00EF57A4" w:rsidRDefault="00EF57A4" w:rsidP="005363F1">
            <w:pPr>
              <w:jc w:val="center"/>
              <w:rPr>
                <w:noProof/>
              </w:rPr>
            </w:pPr>
            <w:r>
              <w:rPr>
                <w:noProof/>
                <w:lang w:eastAsia="en-AU"/>
              </w:rPr>
              <w:drawing>
                <wp:inline distT="0" distB="0" distL="0" distR="0" wp14:anchorId="2977CC9C" wp14:editId="73F13E9B">
                  <wp:extent cx="4583969" cy="2695186"/>
                  <wp:effectExtent l="0" t="0" r="7620" b="0"/>
                  <wp:docPr id="4" name="Picture 4" title="Figure 3: average CTP premium for a car in metro 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CTP Reform Brochure_V4.png"/>
                          <pic:cNvPicPr/>
                        </pic:nvPicPr>
                        <pic:blipFill>
                          <a:blip r:embed="rId17">
                            <a:extLst>
                              <a:ext uri="{28A0092B-C50C-407E-A947-70E740481C1C}">
                                <a14:useLocalDpi xmlns:a14="http://schemas.microsoft.com/office/drawing/2010/main" val="0"/>
                              </a:ext>
                            </a:extLst>
                          </a:blip>
                          <a:stretch>
                            <a:fillRect/>
                          </a:stretch>
                        </pic:blipFill>
                        <pic:spPr>
                          <a:xfrm>
                            <a:off x="0" y="0"/>
                            <a:ext cx="4582254" cy="2694178"/>
                          </a:xfrm>
                          <a:prstGeom prst="rect">
                            <a:avLst/>
                          </a:prstGeom>
                        </pic:spPr>
                      </pic:pic>
                    </a:graphicData>
                  </a:graphic>
                </wp:inline>
              </w:drawing>
            </w:r>
          </w:p>
        </w:tc>
      </w:tr>
    </w:tbl>
    <w:p w:rsidR="00D74098" w:rsidRDefault="00BE1136" w:rsidP="00D74098">
      <w:r>
        <w:br w:type="column"/>
      </w:r>
      <w:r w:rsidR="00D74098">
        <w:t>Sydney (metropolitan) passenger vehicle owners are now paying the highest premiums in the country with current prices ranging from $537 to $886 at an average of $637 as shown in Figure 3.</w:t>
      </w:r>
    </w:p>
    <w:p w:rsidR="00D74098" w:rsidRDefault="00D74098" w:rsidP="00D74098">
      <w:r>
        <w:t>The table below shows the increase in the best price</w:t>
      </w:r>
      <w:r w:rsidR="006F6DFD">
        <w:rPr>
          <w:rStyle w:val="FootnoteReference"/>
        </w:rPr>
        <w:footnoteReference w:id="5"/>
      </w:r>
      <w:r>
        <w:t xml:space="preserve"> available to a Sydney passenger vehicle owner between 1 February 2015 and 1 February 2016.</w:t>
      </w:r>
    </w:p>
    <w:tbl>
      <w:tblPr>
        <w:tblStyle w:val="TransurbanTable"/>
        <w:tblpPr w:leftFromText="181" w:rightFromText="181" w:bottomFromText="113" w:vertAnchor="text" w:horzAnchor="page" w:tblpX="852" w:tblpY="58"/>
        <w:tblOverlap w:val="never"/>
        <w:tblW w:w="10206" w:type="dxa"/>
        <w:tblLook w:val="01E0" w:firstRow="1" w:lastRow="1" w:firstColumn="1" w:lastColumn="1" w:noHBand="0" w:noVBand="0"/>
        <w:tblCaption w:val="Insurers best price"/>
      </w:tblPr>
      <w:tblGrid>
        <w:gridCol w:w="1644"/>
        <w:gridCol w:w="2380"/>
        <w:gridCol w:w="2062"/>
        <w:gridCol w:w="2062"/>
        <w:gridCol w:w="2058"/>
      </w:tblGrid>
      <w:tr w:rsidR="00FC7EEA" w:rsidRPr="00297724" w:rsidTr="009153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5" w:type="pct"/>
            <w:shd w:val="clear" w:color="auto" w:fill="auto"/>
          </w:tcPr>
          <w:p w:rsidR="00FC7EEA" w:rsidRPr="00297724" w:rsidRDefault="00FC7EEA" w:rsidP="00FC05E8">
            <w:pPr>
              <w:pStyle w:val="TableHeading"/>
            </w:pPr>
          </w:p>
        </w:tc>
        <w:tc>
          <w:tcPr>
            <w:tcW w:w="1166" w:type="pct"/>
          </w:tcPr>
          <w:p w:rsidR="00FC7EEA" w:rsidRPr="00297724" w:rsidRDefault="00FC7EEA" w:rsidP="00FC05E8">
            <w:pPr>
              <w:pStyle w:val="TableHeading"/>
              <w:cnfStyle w:val="100000000000" w:firstRow="1" w:lastRow="0" w:firstColumn="0" w:lastColumn="0" w:oddVBand="0" w:evenVBand="0" w:oddHBand="0" w:evenHBand="0" w:firstRowFirstColumn="0" w:firstRowLastColumn="0" w:lastRowFirstColumn="0" w:lastRowLastColumn="0"/>
            </w:pPr>
            <w:r w:rsidRPr="00297724">
              <w:t>Best Price</w:t>
            </w:r>
          </w:p>
        </w:tc>
        <w:tc>
          <w:tcPr>
            <w:tcW w:w="1010" w:type="pct"/>
          </w:tcPr>
          <w:p w:rsidR="00FC7EEA" w:rsidRPr="00297724" w:rsidRDefault="00FC7EEA" w:rsidP="00FC05E8">
            <w:pPr>
              <w:pStyle w:val="TableHeading"/>
              <w:cnfStyle w:val="100000000000" w:firstRow="1" w:lastRow="0" w:firstColumn="0" w:lastColumn="0" w:oddVBand="0" w:evenVBand="0" w:oddHBand="0" w:evenHBand="0" w:firstRowFirstColumn="0" w:firstRowLastColumn="0" w:lastRowFirstColumn="0" w:lastRowLastColumn="0"/>
            </w:pPr>
            <w:r w:rsidRPr="00297724">
              <w:t>Best Price</w:t>
            </w:r>
          </w:p>
        </w:tc>
        <w:tc>
          <w:tcPr>
            <w:tcW w:w="1010" w:type="pct"/>
            <w:shd w:val="clear" w:color="auto" w:fill="auto"/>
          </w:tcPr>
          <w:p w:rsidR="00FC7EEA" w:rsidRPr="00297724" w:rsidRDefault="00FC7EEA" w:rsidP="00FC05E8">
            <w:pPr>
              <w:pStyle w:val="TableHeading"/>
              <w:cnfStyle w:val="100000000000" w:firstRow="1" w:lastRow="0" w:firstColumn="0" w:lastColumn="0" w:oddVBand="0" w:evenVBand="0" w:oddHBand="0" w:evenHBand="0" w:firstRowFirstColumn="0" w:firstRowLastColumn="0" w:lastRowFirstColumn="0" w:lastRowLastColumn="0"/>
            </w:pPr>
          </w:p>
        </w:tc>
        <w:tc>
          <w:tcPr>
            <w:tcW w:w="1008" w:type="pct"/>
            <w:shd w:val="clear" w:color="auto" w:fill="auto"/>
          </w:tcPr>
          <w:p w:rsidR="00FC7EEA" w:rsidRPr="00297724" w:rsidRDefault="00FC7EEA" w:rsidP="00FC05E8">
            <w:pPr>
              <w:pStyle w:val="TableHeading"/>
              <w:cnfStyle w:val="100000000000" w:firstRow="1" w:lastRow="0" w:firstColumn="0" w:lastColumn="0" w:oddVBand="0" w:evenVBand="0" w:oddHBand="0" w:evenHBand="0" w:firstRowFirstColumn="0" w:firstRowLastColumn="0" w:lastRowFirstColumn="0" w:lastRowLastColumn="0"/>
            </w:pPr>
          </w:p>
        </w:tc>
      </w:tr>
      <w:tr w:rsidR="00FC7EEA" w:rsidRPr="003A4EBF" w:rsidTr="00FC05E8">
        <w:tc>
          <w:tcPr>
            <w:cnfStyle w:val="001000000000" w:firstRow="0" w:lastRow="0" w:firstColumn="1" w:lastColumn="0" w:oddVBand="0" w:evenVBand="0" w:oddHBand="0" w:evenHBand="0" w:firstRowFirstColumn="0" w:firstRowLastColumn="0" w:lastRowFirstColumn="0" w:lastRowLastColumn="0"/>
            <w:tcW w:w="805" w:type="pct"/>
          </w:tcPr>
          <w:p w:rsidR="00FC7EEA" w:rsidRPr="00297724" w:rsidRDefault="00FC7EEA" w:rsidP="00FC05E8">
            <w:pPr>
              <w:pStyle w:val="TableHeading"/>
            </w:pPr>
            <w:r w:rsidRPr="00297724">
              <w:t>Insurer</w:t>
            </w:r>
          </w:p>
        </w:tc>
        <w:tc>
          <w:tcPr>
            <w:tcW w:w="1166" w:type="pct"/>
            <w:shd w:val="clear" w:color="auto" w:fill="008179"/>
          </w:tcPr>
          <w:p w:rsidR="00FC7EEA" w:rsidRPr="00297724" w:rsidRDefault="00FC7EEA" w:rsidP="00FC05E8">
            <w:pPr>
              <w:pStyle w:val="TableHeading"/>
              <w:cnfStyle w:val="000000000000" w:firstRow="0" w:lastRow="0" w:firstColumn="0" w:lastColumn="0" w:oddVBand="0" w:evenVBand="0" w:oddHBand="0" w:evenHBand="0" w:firstRowFirstColumn="0" w:firstRowLastColumn="0" w:lastRowFirstColumn="0" w:lastRowLastColumn="0"/>
            </w:pPr>
            <w:r w:rsidRPr="00297724">
              <w:t>1 Feb 2015</w:t>
            </w:r>
          </w:p>
        </w:tc>
        <w:tc>
          <w:tcPr>
            <w:tcW w:w="1010" w:type="pct"/>
            <w:shd w:val="clear" w:color="auto" w:fill="008179"/>
          </w:tcPr>
          <w:p w:rsidR="00FC7EEA" w:rsidRPr="00297724" w:rsidRDefault="00FC7EEA" w:rsidP="00FC05E8">
            <w:pPr>
              <w:pStyle w:val="TableHeading"/>
              <w:cnfStyle w:val="000000000000" w:firstRow="0" w:lastRow="0" w:firstColumn="0" w:lastColumn="0" w:oddVBand="0" w:evenVBand="0" w:oddHBand="0" w:evenHBand="0" w:firstRowFirstColumn="0" w:firstRowLastColumn="0" w:lastRowFirstColumn="0" w:lastRowLastColumn="0"/>
            </w:pPr>
            <w:r w:rsidRPr="00297724">
              <w:t>1 Feb 2016</w:t>
            </w:r>
          </w:p>
        </w:tc>
        <w:tc>
          <w:tcPr>
            <w:tcW w:w="1010" w:type="pct"/>
            <w:shd w:val="clear" w:color="auto" w:fill="008179"/>
          </w:tcPr>
          <w:p w:rsidR="00FC7EEA" w:rsidRPr="00297724" w:rsidRDefault="00FC7EEA" w:rsidP="00FC05E8">
            <w:pPr>
              <w:pStyle w:val="TableHeading"/>
              <w:cnfStyle w:val="000000000000" w:firstRow="0" w:lastRow="0" w:firstColumn="0" w:lastColumn="0" w:oddVBand="0" w:evenVBand="0" w:oddHBand="0" w:evenHBand="0" w:firstRowFirstColumn="0" w:firstRowLastColumn="0" w:lastRowFirstColumn="0" w:lastRowLastColumn="0"/>
            </w:pPr>
            <w:r w:rsidRPr="00297724">
              <w:t>$ change</w:t>
            </w:r>
          </w:p>
        </w:tc>
        <w:tc>
          <w:tcPr>
            <w:tcW w:w="1008" w:type="pct"/>
            <w:shd w:val="clear" w:color="auto" w:fill="008179"/>
          </w:tcPr>
          <w:p w:rsidR="00FC7EEA" w:rsidRPr="00297724" w:rsidRDefault="00FC7EEA" w:rsidP="00FC05E8">
            <w:pPr>
              <w:pStyle w:val="TableHeading"/>
              <w:cnfStyle w:val="000000000000" w:firstRow="0" w:lastRow="0" w:firstColumn="0" w:lastColumn="0" w:oddVBand="0" w:evenVBand="0" w:oddHBand="0" w:evenHBand="0" w:firstRowFirstColumn="0" w:firstRowLastColumn="0" w:lastRowFirstColumn="0" w:lastRowLastColumn="0"/>
            </w:pPr>
            <w:r w:rsidRPr="00297724">
              <w:t>% change</w:t>
            </w:r>
          </w:p>
        </w:tc>
      </w:tr>
      <w:tr w:rsidR="00FC7EEA" w:rsidRPr="003A4EBF" w:rsidTr="00FC05E8">
        <w:tc>
          <w:tcPr>
            <w:cnfStyle w:val="001000000000" w:firstRow="0" w:lastRow="0" w:firstColumn="1" w:lastColumn="0" w:oddVBand="0" w:evenVBand="0" w:oddHBand="0" w:evenHBand="0" w:firstRowFirstColumn="0" w:firstRowLastColumn="0" w:lastRowFirstColumn="0" w:lastRowLastColumn="0"/>
            <w:tcW w:w="805" w:type="pct"/>
          </w:tcPr>
          <w:p w:rsidR="00FC7EEA" w:rsidRPr="00297724" w:rsidRDefault="00FC7EEA" w:rsidP="00FC05E8">
            <w:pPr>
              <w:pStyle w:val="TableHeading"/>
            </w:pPr>
            <w:r w:rsidRPr="00297724">
              <w:t>AAMI</w:t>
            </w:r>
          </w:p>
        </w:tc>
        <w:tc>
          <w:tcPr>
            <w:tcW w:w="1166"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$505</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$572</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$67</w:t>
            </w:r>
          </w:p>
        </w:tc>
        <w:tc>
          <w:tcPr>
            <w:tcW w:w="1008"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13%</w:t>
            </w:r>
          </w:p>
        </w:tc>
      </w:tr>
      <w:tr w:rsidR="00FC7EEA" w:rsidRPr="003A4EBF" w:rsidTr="00FC05E8">
        <w:tc>
          <w:tcPr>
            <w:cnfStyle w:val="001000000000" w:firstRow="0" w:lastRow="0" w:firstColumn="1" w:lastColumn="0" w:oddVBand="0" w:evenVBand="0" w:oddHBand="0" w:evenHBand="0" w:firstRowFirstColumn="0" w:firstRowLastColumn="0" w:lastRowFirstColumn="0" w:lastRowLastColumn="0"/>
            <w:tcW w:w="805" w:type="pct"/>
          </w:tcPr>
          <w:p w:rsidR="00FC7EEA" w:rsidRPr="00297724" w:rsidRDefault="00FC7EEA" w:rsidP="00FC05E8">
            <w:pPr>
              <w:pStyle w:val="TableHeading"/>
            </w:pPr>
            <w:r w:rsidRPr="00297724">
              <w:t xml:space="preserve">Allianz </w:t>
            </w:r>
          </w:p>
        </w:tc>
        <w:tc>
          <w:tcPr>
            <w:tcW w:w="1166"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$539</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$589</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$50</w:t>
            </w:r>
          </w:p>
        </w:tc>
        <w:tc>
          <w:tcPr>
            <w:tcW w:w="1008"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9%</w:t>
            </w:r>
          </w:p>
        </w:tc>
      </w:tr>
      <w:tr w:rsidR="00FC7EEA" w:rsidRPr="003A4EBF" w:rsidTr="00FC05E8">
        <w:tc>
          <w:tcPr>
            <w:cnfStyle w:val="001000000000" w:firstRow="0" w:lastRow="0" w:firstColumn="1" w:lastColumn="0" w:oddVBand="0" w:evenVBand="0" w:oddHBand="0" w:evenHBand="0" w:firstRowFirstColumn="0" w:firstRowLastColumn="0" w:lastRowFirstColumn="0" w:lastRowLastColumn="0"/>
            <w:tcW w:w="805" w:type="pct"/>
          </w:tcPr>
          <w:p w:rsidR="00FC7EEA" w:rsidRPr="00297724" w:rsidRDefault="00FC7EEA" w:rsidP="00FC05E8">
            <w:pPr>
              <w:pStyle w:val="TableHeading"/>
            </w:pPr>
            <w:r w:rsidRPr="00297724">
              <w:t xml:space="preserve">CIC Allianz </w:t>
            </w:r>
          </w:p>
        </w:tc>
        <w:tc>
          <w:tcPr>
            <w:tcW w:w="1166"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$546</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$596</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$50</w:t>
            </w:r>
          </w:p>
        </w:tc>
        <w:tc>
          <w:tcPr>
            <w:tcW w:w="1008"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9%</w:t>
            </w:r>
          </w:p>
        </w:tc>
      </w:tr>
      <w:tr w:rsidR="00FC7EEA" w:rsidRPr="003A4EBF" w:rsidTr="00FC05E8">
        <w:tc>
          <w:tcPr>
            <w:cnfStyle w:val="001000000000" w:firstRow="0" w:lastRow="0" w:firstColumn="1" w:lastColumn="0" w:oddVBand="0" w:evenVBand="0" w:oddHBand="0" w:evenHBand="0" w:firstRowFirstColumn="0" w:firstRowLastColumn="0" w:lastRowFirstColumn="0" w:lastRowLastColumn="0"/>
            <w:tcW w:w="805" w:type="pct"/>
          </w:tcPr>
          <w:p w:rsidR="00FC7EEA" w:rsidRPr="00297724" w:rsidRDefault="00FC7EEA" w:rsidP="00FC05E8">
            <w:pPr>
              <w:pStyle w:val="TableHeading"/>
            </w:pPr>
            <w:r w:rsidRPr="00297724">
              <w:t>GIO</w:t>
            </w:r>
          </w:p>
        </w:tc>
        <w:tc>
          <w:tcPr>
            <w:tcW w:w="1166"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$509</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$555</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$46</w:t>
            </w:r>
          </w:p>
        </w:tc>
        <w:tc>
          <w:tcPr>
            <w:tcW w:w="1008"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9%</w:t>
            </w:r>
          </w:p>
        </w:tc>
      </w:tr>
      <w:tr w:rsidR="00FC7EEA" w:rsidRPr="003A4EBF" w:rsidTr="00FC05E8">
        <w:tc>
          <w:tcPr>
            <w:cnfStyle w:val="001000000000" w:firstRow="0" w:lastRow="0" w:firstColumn="1" w:lastColumn="0" w:oddVBand="0" w:evenVBand="0" w:oddHBand="0" w:evenHBand="0" w:firstRowFirstColumn="0" w:firstRowLastColumn="0" w:lastRowFirstColumn="0" w:lastRowLastColumn="0"/>
            <w:tcW w:w="805" w:type="pct"/>
          </w:tcPr>
          <w:p w:rsidR="00FC7EEA" w:rsidRPr="00297724" w:rsidRDefault="00FC7EEA" w:rsidP="00FC05E8">
            <w:pPr>
              <w:pStyle w:val="TableHeading"/>
            </w:pPr>
            <w:r w:rsidRPr="00297724">
              <w:t>NRMA</w:t>
            </w:r>
          </w:p>
        </w:tc>
        <w:tc>
          <w:tcPr>
            <w:tcW w:w="1166"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$545</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$588</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$44</w:t>
            </w:r>
          </w:p>
        </w:tc>
        <w:tc>
          <w:tcPr>
            <w:tcW w:w="1008"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8%</w:t>
            </w:r>
          </w:p>
        </w:tc>
      </w:tr>
      <w:tr w:rsidR="00FC7EEA" w:rsidRPr="003A4EBF" w:rsidTr="00FC05E8">
        <w:tc>
          <w:tcPr>
            <w:cnfStyle w:val="001000000000" w:firstRow="0" w:lastRow="0" w:firstColumn="1" w:lastColumn="0" w:oddVBand="0" w:evenVBand="0" w:oddHBand="0" w:evenHBand="0" w:firstRowFirstColumn="0" w:firstRowLastColumn="0" w:lastRowFirstColumn="0" w:lastRowLastColumn="0"/>
            <w:tcW w:w="805" w:type="pct"/>
          </w:tcPr>
          <w:p w:rsidR="00FC7EEA" w:rsidRPr="00297724" w:rsidRDefault="00FC7EEA" w:rsidP="00FC05E8">
            <w:pPr>
              <w:pStyle w:val="TableHeading"/>
            </w:pPr>
            <w:r w:rsidRPr="00297724">
              <w:t>QBE</w:t>
            </w:r>
          </w:p>
        </w:tc>
        <w:tc>
          <w:tcPr>
            <w:tcW w:w="1166"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$500</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$537</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$37</w:t>
            </w:r>
          </w:p>
        </w:tc>
        <w:tc>
          <w:tcPr>
            <w:tcW w:w="1008"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7%</w:t>
            </w:r>
          </w:p>
        </w:tc>
      </w:tr>
      <w:tr w:rsidR="00FC7EEA" w:rsidRPr="003A4EBF" w:rsidTr="00FC05E8">
        <w:tc>
          <w:tcPr>
            <w:cnfStyle w:val="001000000000" w:firstRow="0" w:lastRow="0" w:firstColumn="1" w:lastColumn="0" w:oddVBand="0" w:evenVBand="0" w:oddHBand="0" w:evenHBand="0" w:firstRowFirstColumn="0" w:firstRowLastColumn="0" w:lastRowFirstColumn="0" w:lastRowLastColumn="0"/>
            <w:tcW w:w="805" w:type="pct"/>
          </w:tcPr>
          <w:p w:rsidR="00FC7EEA" w:rsidRPr="00297724" w:rsidRDefault="00FC7EEA" w:rsidP="00FC05E8">
            <w:pPr>
              <w:pStyle w:val="TableHeading"/>
            </w:pPr>
            <w:r w:rsidRPr="00297724">
              <w:t>Zurich</w:t>
            </w:r>
          </w:p>
        </w:tc>
        <w:tc>
          <w:tcPr>
            <w:tcW w:w="1166"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$548</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$597</w:t>
            </w:r>
          </w:p>
        </w:tc>
        <w:tc>
          <w:tcPr>
            <w:tcW w:w="1010"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$49</w:t>
            </w:r>
          </w:p>
        </w:tc>
        <w:tc>
          <w:tcPr>
            <w:tcW w:w="1008" w:type="pct"/>
          </w:tcPr>
          <w:p w:rsidR="00FC7EEA" w:rsidRPr="00297724" w:rsidRDefault="00FC7EEA" w:rsidP="00FC05E8">
            <w:pPr>
              <w:pStyle w:val="TableText"/>
              <w:cnfStyle w:val="000000000000" w:firstRow="0" w:lastRow="0" w:firstColumn="0" w:lastColumn="0" w:oddVBand="0" w:evenVBand="0" w:oddHBand="0" w:evenHBand="0" w:firstRowFirstColumn="0" w:firstRowLastColumn="0" w:lastRowFirstColumn="0" w:lastRowLastColumn="0"/>
            </w:pPr>
            <w:r w:rsidRPr="00297724">
              <w:t>9%</w:t>
            </w:r>
          </w:p>
        </w:tc>
      </w:tr>
    </w:tbl>
    <w:p w:rsidR="00004801" w:rsidRDefault="00004801">
      <w:pPr>
        <w:adjustRightInd/>
        <w:snapToGrid/>
        <w:spacing w:after="0" w:line="240" w:lineRule="auto"/>
      </w:pPr>
      <w:r>
        <w:br w:type="page"/>
      </w:r>
    </w:p>
    <w:p w:rsidR="00004801" w:rsidRDefault="00004801" w:rsidP="00325A69">
      <w:pPr>
        <w:pStyle w:val="SectionHeadingNonToC"/>
        <w:framePr w:wrap="around"/>
      </w:pPr>
      <w:r w:rsidRPr="00004801">
        <w:lastRenderedPageBreak/>
        <w:t>How is the current CTP scheme performing against these objectives?</w:t>
      </w:r>
    </w:p>
    <w:p w:rsidR="00B6340E" w:rsidRDefault="00B6340E" w:rsidP="00B6340E">
      <w:r>
        <w:t>Figure 4 shows the average CTP price for a passenger vehicle in the metropolitan area since 2008.</w:t>
      </w:r>
    </w:p>
    <w:p w:rsidR="00B6340E" w:rsidRDefault="00B6340E" w:rsidP="00B6340E">
      <w:r>
        <w:t xml:space="preserve">There are a number of reasons why Green Slip prices have increased substantially since 2008. </w:t>
      </w:r>
    </w:p>
    <w:p w:rsidR="00B6340E" w:rsidRDefault="00B6340E" w:rsidP="00B6340E">
      <w:r>
        <w:t>The cost of a Green Slip is partly influenced by the benefits provided. Under the current NSW scheme, the benefits available, plus caps and thresholds where they exist, are considerably higher than in most other Australian jurisdictions as shown in the Appendix, however the amount actually received by claimants is often reduced by legal fees. There is an important question about whether the community is happy to bear higher prices, if that means higher benefits.</w:t>
      </w:r>
    </w:p>
    <w:tbl>
      <w:tblPr>
        <w:tblStyle w:val="PlaceholderGrid"/>
        <w:tblpPr w:leftFromText="181" w:rightFromText="181" w:topFromText="170" w:bottomFromText="1134" w:vertAnchor="page" w:horzAnchor="page" w:tblpX="852" w:tblpY="9073"/>
        <w:tblOverlap w:val="never"/>
        <w:tblW w:w="10206" w:type="dxa"/>
        <w:tblLayout w:type="fixed"/>
        <w:tblLook w:val="04A0" w:firstRow="1" w:lastRow="0" w:firstColumn="1" w:lastColumn="0" w:noHBand="0" w:noVBand="1"/>
        <w:tblCaption w:val="Chart placeholder grid"/>
      </w:tblPr>
      <w:tblGrid>
        <w:gridCol w:w="10206"/>
      </w:tblGrid>
      <w:tr w:rsidR="00B6340E" w:rsidTr="006232A2">
        <w:trPr>
          <w:trHeight w:val="3740"/>
          <w:tblHeader/>
        </w:trPr>
        <w:tc>
          <w:tcPr>
            <w:tcW w:w="10206" w:type="dxa"/>
            <w:vAlign w:val="center"/>
          </w:tcPr>
          <w:p w:rsidR="00B6340E" w:rsidRDefault="005363F1" w:rsidP="006232A2">
            <w:pPr>
              <w:jc w:val="center"/>
              <w:rPr>
                <w:noProof/>
              </w:rPr>
            </w:pPr>
            <w:r>
              <w:rPr>
                <w:noProof/>
                <w:lang w:eastAsia="en-AU"/>
              </w:rPr>
              <w:drawing>
                <wp:inline distT="0" distB="0" distL="0" distR="0" wp14:anchorId="48844460" wp14:editId="153FFA28">
                  <wp:extent cx="6192520" cy="3404870"/>
                  <wp:effectExtent l="0" t="0" r="0" b="5080"/>
                  <wp:docPr id="16" name="Picture 16" title="Figure 4: Average CTP price for Sydney merto passenger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CTP Reform Brochure_V4.png"/>
                          <pic:cNvPicPr/>
                        </pic:nvPicPr>
                        <pic:blipFill>
                          <a:blip r:embed="rId18">
                            <a:extLst>
                              <a:ext uri="{28A0092B-C50C-407E-A947-70E740481C1C}">
                                <a14:useLocalDpi xmlns:a14="http://schemas.microsoft.com/office/drawing/2010/main" val="0"/>
                              </a:ext>
                            </a:extLst>
                          </a:blip>
                          <a:stretch>
                            <a:fillRect/>
                          </a:stretch>
                        </pic:blipFill>
                        <pic:spPr>
                          <a:xfrm>
                            <a:off x="0" y="0"/>
                            <a:ext cx="6192520" cy="3404870"/>
                          </a:xfrm>
                          <a:prstGeom prst="rect">
                            <a:avLst/>
                          </a:prstGeom>
                        </pic:spPr>
                      </pic:pic>
                    </a:graphicData>
                  </a:graphic>
                </wp:inline>
              </w:drawing>
            </w:r>
          </w:p>
        </w:tc>
      </w:tr>
    </w:tbl>
    <w:p w:rsidR="006A5BFB" w:rsidRDefault="00B6340E" w:rsidP="00B6340E">
      <w:r>
        <w:t xml:space="preserve">Green Slip price increases have also been driven by increasing claim numbers since 2008; especially claims by people who have minor injuries and are legally </w:t>
      </w:r>
    </w:p>
    <w:p w:rsidR="00B6340E" w:rsidRDefault="006232A2" w:rsidP="00B6340E">
      <w:r>
        <w:br w:type="column"/>
      </w:r>
      <w:proofErr w:type="gramStart"/>
      <w:r w:rsidR="00B6340E">
        <w:t>represented</w:t>
      </w:r>
      <w:proofErr w:type="gramEnd"/>
      <w:r w:rsidR="00B6340E">
        <w:t xml:space="preserve">. The number of legally represented claims for minor injuries has increased by 111% between 2008 and 2015, and 24% in just the past year (June 2014 to June 2015), while claims for more serious injuries have been steady. </w:t>
      </w:r>
    </w:p>
    <w:p w:rsidR="00004801" w:rsidRPr="00004801" w:rsidRDefault="00B6340E" w:rsidP="00B6340E">
      <w:r>
        <w:t>Figure 5 (over the page) prepared by the scheme actuary Ernst &amp; Young, shows the growth in legally represented claims for minor injuries. The sharp increase in the number of these claims is a significant contributor to the recent and predicted price increases.</w:t>
      </w:r>
    </w:p>
    <w:p w:rsidR="00B6340E" w:rsidRDefault="00B6340E">
      <w:pPr>
        <w:adjustRightInd/>
        <w:snapToGrid/>
        <w:spacing w:after="0" w:line="240" w:lineRule="auto"/>
      </w:pPr>
      <w:r>
        <w:br w:type="page"/>
      </w:r>
    </w:p>
    <w:p w:rsidR="00B6340E" w:rsidRDefault="00B6340E" w:rsidP="00325A69">
      <w:pPr>
        <w:pStyle w:val="SectionHeadingNonToC"/>
        <w:framePr w:wrap="around"/>
      </w:pPr>
      <w:r w:rsidRPr="00B6340E">
        <w:lastRenderedPageBreak/>
        <w:t>How is the current CTP scheme performing against these objectives?</w:t>
      </w:r>
    </w:p>
    <w:tbl>
      <w:tblPr>
        <w:tblStyle w:val="PlaceholderGrid"/>
        <w:tblpPr w:leftFromText="181" w:rightFromText="181" w:topFromText="170" w:bottomFromText="170" w:vertAnchor="text" w:horzAnchor="page" w:tblpX="852" w:tblpY="-56"/>
        <w:tblOverlap w:val="never"/>
        <w:tblW w:w="10169" w:type="dxa"/>
        <w:tblLayout w:type="fixed"/>
        <w:tblCellMar>
          <w:top w:w="0" w:type="dxa"/>
          <w:bottom w:w="0" w:type="dxa"/>
        </w:tblCellMar>
        <w:tblLook w:val="04A0" w:firstRow="1" w:lastRow="0" w:firstColumn="1" w:lastColumn="0" w:noHBand="0" w:noVBand="1"/>
        <w:tblCaption w:val="Chart placeholder grid"/>
      </w:tblPr>
      <w:tblGrid>
        <w:gridCol w:w="10169"/>
      </w:tblGrid>
      <w:tr w:rsidR="00B6340E" w:rsidTr="00915367">
        <w:trPr>
          <w:tblHeader/>
        </w:trPr>
        <w:tc>
          <w:tcPr>
            <w:tcW w:w="10169" w:type="dxa"/>
            <w:vAlign w:val="center"/>
          </w:tcPr>
          <w:p w:rsidR="00B6340E" w:rsidRDefault="00004EC6" w:rsidP="00A4001A">
            <w:pPr>
              <w:jc w:val="center"/>
              <w:rPr>
                <w:noProof/>
              </w:rPr>
            </w:pPr>
            <w:r>
              <w:rPr>
                <w:noProof/>
                <w:lang w:eastAsia="en-AU"/>
              </w:rPr>
              <w:drawing>
                <wp:inline distT="0" distB="0" distL="0" distR="0" wp14:anchorId="526C9DDB" wp14:editId="2BF0C5C8">
                  <wp:extent cx="5979381" cy="4793560"/>
                  <wp:effectExtent l="0" t="0" r="2540" b="7620"/>
                  <wp:docPr id="17" name="Picture 17" title="Figure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amp;6 CTP Reform Brochure_V4.png"/>
                          <pic:cNvPicPr/>
                        </pic:nvPicPr>
                        <pic:blipFill>
                          <a:blip r:embed="rId19">
                            <a:extLst>
                              <a:ext uri="{28A0092B-C50C-407E-A947-70E740481C1C}">
                                <a14:useLocalDpi xmlns:a14="http://schemas.microsoft.com/office/drawing/2010/main" val="0"/>
                              </a:ext>
                            </a:extLst>
                          </a:blip>
                          <a:stretch>
                            <a:fillRect/>
                          </a:stretch>
                        </pic:blipFill>
                        <pic:spPr>
                          <a:xfrm>
                            <a:off x="0" y="0"/>
                            <a:ext cx="5983633" cy="4796969"/>
                          </a:xfrm>
                          <a:prstGeom prst="rect">
                            <a:avLst/>
                          </a:prstGeom>
                        </pic:spPr>
                      </pic:pic>
                    </a:graphicData>
                  </a:graphic>
                </wp:inline>
              </w:drawing>
            </w:r>
          </w:p>
        </w:tc>
      </w:tr>
    </w:tbl>
    <w:p w:rsidR="00B6340E" w:rsidRDefault="00B6340E" w:rsidP="0052029D">
      <w:pPr>
        <w:spacing w:after="60"/>
      </w:pPr>
      <w:r>
        <w:t xml:space="preserve">Minor injury claims of this type average between $95,000 and $110,000 each. As a result, around $213 of every Green Slip premium is going towards these claims, up from $96 in 2008, an increase of 121%, as shown in Figure 6. </w:t>
      </w:r>
    </w:p>
    <w:p w:rsidR="00B6340E" w:rsidRDefault="00B6340E" w:rsidP="0052029D">
      <w:pPr>
        <w:spacing w:after="60"/>
      </w:pPr>
      <w:r>
        <w:t xml:space="preserve">Increasingly, claims include payment for care and domestic assistance, including assistance that may have been provided by family members. The cost of care has increased at very high rates since 2000 relative to other payment types and is also putting increasing pressure on Green Slip prices. </w:t>
      </w:r>
    </w:p>
    <w:p w:rsidR="00B6340E" w:rsidRDefault="00B6340E" w:rsidP="0052029D">
      <w:pPr>
        <w:spacing w:after="60"/>
      </w:pPr>
      <w:r>
        <w:t xml:space="preserve">According to the scheme actuary, care costs per policy have increased steadily over the past 10 years, rising from $18 per policy in 2004 to $42 per policy in 2014. The rise in care costs has been most notable in claims from injured people who have minor injuries and are legally represented. </w:t>
      </w:r>
      <w:r w:rsidR="008A672D">
        <w:br w:type="column"/>
      </w:r>
      <w:r>
        <w:t xml:space="preserve">Common law schemes can become expensive because settlements are negotiated on a case by case basis. This can result in scheme costs increasing over time at a rate faster than normal inflation (called “Superimposed Inflation”). They are also more expensive to run, as the adversarial system is costly. Premiums in common law systems can be more volatile, as insurers need to predict how much they will be paying in lump sums several years into the future. This uncertainty is built into the premium by the conservative pricing of insurers, which has historically led to insurers obtaining larger than expected profit margins. </w:t>
      </w:r>
    </w:p>
    <w:p w:rsidR="00B6340E" w:rsidRDefault="00B6340E" w:rsidP="0052029D">
      <w:pPr>
        <w:spacing w:after="0"/>
      </w:pPr>
      <w:r>
        <w:t>An independent review of insurer profit and competition was undertaken in 2015 and the recommendations from that review will be considered in this review. More commentary on the review of profit and competition is on page 13.</w:t>
      </w:r>
      <w:r w:rsidR="0052029D">
        <w:t xml:space="preserve"> </w:t>
      </w:r>
      <w:r>
        <w:br w:type="page"/>
      </w:r>
    </w:p>
    <w:p w:rsidR="00B6340E" w:rsidRDefault="00602F42" w:rsidP="00602F42">
      <w:pPr>
        <w:pStyle w:val="SectionHeading"/>
        <w:framePr w:wrap="around"/>
      </w:pPr>
      <w:bookmarkStart w:id="11" w:name="_Toc448404729"/>
      <w:r w:rsidRPr="00602F42">
        <w:lastRenderedPageBreak/>
        <w:t>Some policy issues</w:t>
      </w:r>
      <w:bookmarkEnd w:id="11"/>
    </w:p>
    <w:p w:rsidR="00602F42" w:rsidRDefault="00602F42" w:rsidP="00602F42">
      <w:r>
        <w:t>Having analysed the current scheme performance against the Government’s review objectives, below are some of the other specific policy issues that need to be considered in light of potential reform options.</w:t>
      </w:r>
    </w:p>
    <w:p w:rsidR="00602F42" w:rsidRDefault="00602F42" w:rsidP="00602F42">
      <w:pPr>
        <w:pStyle w:val="Heading1"/>
      </w:pPr>
      <w:bookmarkStart w:id="12" w:name="_Toc448404730"/>
      <w:r>
        <w:t>Fault versus no-fault</w:t>
      </w:r>
      <w:bookmarkEnd w:id="12"/>
    </w:p>
    <w:p w:rsidR="00602F42" w:rsidRDefault="00602F42" w:rsidP="00602F42">
      <w:r>
        <w:t>There is significant debate around whether a no-fault or at-fault scheme presents the best way of supporting or compensating injured road users, particularly whether all people should be covered or whether fault is the best way to ration and allocate the resources of the scheme.</w:t>
      </w:r>
    </w:p>
    <w:p w:rsidR="00602F42" w:rsidRDefault="00602F42" w:rsidP="00602F42">
      <w:r>
        <w:t>Proponents of fault-based schemes (such as the one operating in NSW) believe that they:</w:t>
      </w:r>
    </w:p>
    <w:p w:rsidR="00602F42" w:rsidRDefault="00602F42" w:rsidP="00602F42">
      <w:pPr>
        <w:pStyle w:val="ListBullet"/>
      </w:pPr>
      <w:r>
        <w:t>provide an incentive for people to drive safely</w:t>
      </w:r>
    </w:p>
    <w:p w:rsidR="00602F42" w:rsidRDefault="00602F42" w:rsidP="00602F42">
      <w:pPr>
        <w:pStyle w:val="ListBullet"/>
      </w:pPr>
      <w:r>
        <w:t>provide greater flexibility to deal with individual and unique claims</w:t>
      </w:r>
    </w:p>
    <w:p w:rsidR="00602F42" w:rsidRDefault="00602F42" w:rsidP="00602F42">
      <w:pPr>
        <w:pStyle w:val="ListBullet"/>
      </w:pPr>
      <w:r>
        <w:t>are more adaptable to changing legal and compensation environments</w:t>
      </w:r>
    </w:p>
    <w:p w:rsidR="00602F42" w:rsidRDefault="00602F42" w:rsidP="00602F42">
      <w:pPr>
        <w:pStyle w:val="ListBullet"/>
      </w:pPr>
      <w:r>
        <w:t>are fair as someone who injures another person is responsible</w:t>
      </w:r>
    </w:p>
    <w:p w:rsidR="00602F42" w:rsidRDefault="00602F42" w:rsidP="00602F42">
      <w:pPr>
        <w:pStyle w:val="ListBullet"/>
      </w:pPr>
      <w:proofErr w:type="gramStart"/>
      <w:r>
        <w:t>may</w:t>
      </w:r>
      <w:proofErr w:type="gramEnd"/>
      <w:r>
        <w:t xml:space="preserve"> allow for an injured person to negotiate for greater benefits.</w:t>
      </w:r>
    </w:p>
    <w:p w:rsidR="00602F42" w:rsidRDefault="00602F42" w:rsidP="00602F42">
      <w:r>
        <w:t>Proponents of no-fault schemes (such as those operating in Victoria and New Zealand) believe that they:</w:t>
      </w:r>
    </w:p>
    <w:p w:rsidR="00602F42" w:rsidRDefault="00602F42" w:rsidP="00602F42">
      <w:pPr>
        <w:pStyle w:val="ListBullet"/>
      </w:pPr>
      <w:r>
        <w:t>provide simpler, faster and more predictable paths for compensation</w:t>
      </w:r>
    </w:p>
    <w:p w:rsidR="00602F42" w:rsidRDefault="00602F42" w:rsidP="00602F42">
      <w:pPr>
        <w:pStyle w:val="ListBullet"/>
      </w:pPr>
      <w:r>
        <w:t xml:space="preserve">do not unduly punish an injured driver for a momentary lapse in judgement </w:t>
      </w:r>
    </w:p>
    <w:p w:rsidR="00602F42" w:rsidRDefault="00602F42" w:rsidP="00602F42">
      <w:pPr>
        <w:pStyle w:val="ListBullet"/>
      </w:pPr>
      <w:r>
        <w:t>provide benefits which are not reliant on the quality of representation and argument</w:t>
      </w:r>
    </w:p>
    <w:p w:rsidR="00602F42" w:rsidRDefault="00602F42" w:rsidP="00602F42">
      <w:pPr>
        <w:pStyle w:val="ListBullet"/>
      </w:pPr>
      <w:r>
        <w:t>provide a fairer proportion of scheme funds going to the injured</w:t>
      </w:r>
    </w:p>
    <w:p w:rsidR="00602F42" w:rsidRDefault="00602F42" w:rsidP="00602F42">
      <w:pPr>
        <w:pStyle w:val="ListBullet"/>
      </w:pPr>
      <w:proofErr w:type="gramStart"/>
      <w:r>
        <w:t>improve</w:t>
      </w:r>
      <w:proofErr w:type="gramEnd"/>
      <w:r>
        <w:t xml:space="preserve"> health outcomes, as needing to prove fault delays treatment and compensation. </w:t>
      </w:r>
    </w:p>
    <w:p w:rsidR="00602F42" w:rsidRDefault="00602F42" w:rsidP="00602F42"/>
    <w:p w:rsidR="00602F42" w:rsidRDefault="00602F42" w:rsidP="009C50B1">
      <w:pPr>
        <w:pStyle w:val="Heading1"/>
      </w:pPr>
      <w:bookmarkStart w:id="13" w:name="_Toc448404731"/>
      <w:r>
        <w:t>Coverage for other injured road users</w:t>
      </w:r>
      <w:bookmarkEnd w:id="13"/>
    </w:p>
    <w:p w:rsidR="00602F42" w:rsidRDefault="00602F42" w:rsidP="00602F42">
      <w:r>
        <w:t xml:space="preserve">Many people injured on the NSW roads do not have access to CTP insurance. These include not only ‘at-fault’ drivers, but also road users injured by non-motorised vehicles (e.g. bicycles, skateboards) and motorised vehicles falling outside the registration and insurance system (e.g. dirt or off-road bikes, </w:t>
      </w:r>
      <w:proofErr w:type="spellStart"/>
      <w:r>
        <w:t>Segways</w:t>
      </w:r>
      <w:proofErr w:type="spellEnd"/>
      <w:r>
        <w:t xml:space="preserve">). There are often practical and other considerations in bringing such vehicles into the formal registration and insurance systems, but there remains a gap in coverage for those injured. </w:t>
      </w:r>
    </w:p>
    <w:p w:rsidR="00602F42" w:rsidRDefault="00602F42" w:rsidP="00602F42">
      <w:r>
        <w:t>Following the recent work of a Bicycle Compensation Working Party chaired by SIRA, and irrespective of the preferred benefit model, the Government is giving consideration to building a ‘safety net’ which would mean that people injured by such vehicles would have recourse to the Nominal Defendant in instances where the party at-fault had no insurance. A penalty (excess) would apply to anyone causing an injury in the event that person does not have some form of existing insurance. This would have the effect of adding some extra cost to CTP insurance, but it would allow for wider coverage.</w:t>
      </w:r>
    </w:p>
    <w:p w:rsidR="00602F42" w:rsidRDefault="00602F42" w:rsidP="00602F42">
      <w:pPr>
        <w:pStyle w:val="Heading1"/>
      </w:pPr>
      <w:bookmarkStart w:id="14" w:name="_Toc448404732"/>
      <w:r>
        <w:t>First party versus third party scheme</w:t>
      </w:r>
      <w:bookmarkEnd w:id="14"/>
    </w:p>
    <w:p w:rsidR="00602F42" w:rsidRPr="00602F42" w:rsidRDefault="00602F42" w:rsidP="00602F42">
      <w:r>
        <w:t>At present, a not at-fault claimant needs to claim against the vehicle at fault. This means identifying the vehicle at fault, finding the insurer and then dealing with an insurer who may not be motivated to look after the claimant as they would their own customer. In the current system the insurer is actually representing the at-fault driver, not the claimant. As the injured person is generally not the insurer’s customer, there is little incentive for the insurer to perform well on claims and resolve them in the interests of the claimant.</w:t>
      </w:r>
    </w:p>
    <w:p w:rsidR="009C50B1" w:rsidRDefault="009C50B1">
      <w:pPr>
        <w:adjustRightInd/>
        <w:snapToGrid/>
        <w:spacing w:after="0" w:line="240" w:lineRule="auto"/>
      </w:pPr>
      <w:r>
        <w:br w:type="page"/>
      </w:r>
    </w:p>
    <w:p w:rsidR="009C50B1" w:rsidRDefault="002D2ADF" w:rsidP="00325A69">
      <w:pPr>
        <w:pStyle w:val="SectionHeadingNonToC"/>
        <w:framePr w:wrap="around"/>
      </w:pPr>
      <w:r w:rsidRPr="002D2ADF">
        <w:lastRenderedPageBreak/>
        <w:t>Some policy issues</w:t>
      </w:r>
    </w:p>
    <w:p w:rsidR="002D2ADF" w:rsidRDefault="002D2ADF" w:rsidP="002D2ADF">
      <w:r>
        <w:t>Allowing injured people to claim against their own insurer, just like comprehensive motor insurance, may change the way insurers view claimants. Only in cases where someone is injured outside of a vehicle, such as a pedestrian or cyclist, would they need to claim against the at-fault vehicle. This option becomes possible in a no-fault, defined benefits system, although there are certainly advantages in maintaining a single insurer which manages all claims arising from one accident.</w:t>
      </w:r>
    </w:p>
    <w:p w:rsidR="002D2ADF" w:rsidRDefault="002D2ADF" w:rsidP="002D2ADF">
      <w:pPr>
        <w:pStyle w:val="Heading1"/>
      </w:pPr>
      <w:bookmarkStart w:id="15" w:name="_Toc448404733"/>
      <w:r>
        <w:t>Profit and competition</w:t>
      </w:r>
      <w:bookmarkEnd w:id="15"/>
    </w:p>
    <w:p w:rsidR="002D2ADF" w:rsidRDefault="002D2ADF" w:rsidP="002D2ADF">
      <w:r>
        <w:t xml:space="preserve">In December 2015, Zurich announced that from 1 March 2016 it would cease selling CTP policies in NSW. This reduces the number of licenced CTP insurers from seven to six (two insurance companies have multiple licences, so effectively there are now four CTP insurers in NSW). </w:t>
      </w:r>
    </w:p>
    <w:p w:rsidR="002D2ADF" w:rsidRDefault="002D2ADF" w:rsidP="002D2ADF">
      <w:r>
        <w:t>A recommendation of the NSW Parliament Standing Committee on Law and Justice twelfth review of the functions of the (former) Motor Accidents Authority was that there should be a review of insurer profit and market competition in the CTP scheme. This was partly in response to concerns raised by stakeholders regarding the excessive insurer profits arising from the NSW CTP scheme.</w:t>
      </w:r>
    </w:p>
    <w:p w:rsidR="002D2ADF" w:rsidRDefault="002D2ADF" w:rsidP="002D2ADF">
      <w:r>
        <w:t>CTP insurers are required to ‘file’ their proposed prices with SIRA and show that they fully cover anticipated liabilities and expenses, but are not excessive. In the filing, insurers must estimate their future costs for claims and other expenses including profit. This is known as the ‘filed’ or prospective view of profit.</w:t>
      </w:r>
    </w:p>
    <w:p w:rsidR="002D2ADF" w:rsidRDefault="002D2ADF" w:rsidP="002D2ADF">
      <w:r>
        <w:t>Over the life of the scheme there has been a consistent pattern of discrepancy between ‘filed’ and realised profits of the CTP insurers. The long term average of realised profit is around 19%, which is more than double what insurers file for when setting their prices.</w:t>
      </w:r>
    </w:p>
    <w:p w:rsidR="002D2ADF" w:rsidRDefault="002D2ADF" w:rsidP="00325A69">
      <w:r>
        <w:t xml:space="preserve">In late 2015 an independent review of insurer profit and competition was undertaken and the recommendations from that review will provide context and input to this review to help strengthen the regulatory framework, improve transparency and market competition. The </w:t>
      </w:r>
      <w:r w:rsidRPr="002D2ADF">
        <w:rPr>
          <w:i/>
        </w:rPr>
        <w:t>Report of the Independent Review of Insurer Profit within the NSW Compulsory Third Party Scheme</w:t>
      </w:r>
      <w:r>
        <w:t xml:space="preserve"> has been released in conjunction with</w:t>
      </w:r>
      <w:r w:rsidR="00A658E4">
        <w:t xml:space="preserve"> this paper and is available at </w:t>
      </w:r>
      <w:r>
        <w:t>www.sira.nsw.gov.au.</w:t>
      </w:r>
    </w:p>
    <w:p w:rsidR="002D2ADF" w:rsidRDefault="002D2ADF" w:rsidP="00A658E4">
      <w:pPr>
        <w:ind w:right="-113"/>
      </w:pPr>
      <w:r>
        <w:t>The review makes constructive</w:t>
      </w:r>
      <w:r w:rsidR="00A658E4">
        <w:t xml:space="preserve"> </w:t>
      </w:r>
      <w:r>
        <w:t xml:space="preserve">recommendations on mechanisms that can be put in place to better manage risks, potentially limit future premium growth and remove barriers to competition. These include approaches to assessing and applying risk rating factors, relaxing or removing some regulations or restrictions on aspects of insurer price setting, and reviewing the role of the regulator in price setting.  While action has commenced on addressing the regulatory and administrative recommendations, the Government will consider the recommendations requiring legislative amendment as part of its wider review of scheme design. </w:t>
      </w:r>
    </w:p>
    <w:p w:rsidR="002D2ADF" w:rsidRDefault="002D2ADF" w:rsidP="002D2ADF">
      <w:pPr>
        <w:pStyle w:val="Heading1"/>
      </w:pPr>
      <w:bookmarkStart w:id="16" w:name="_Toc448404734"/>
      <w:r>
        <w:t>Underwriting considerations</w:t>
      </w:r>
      <w:bookmarkEnd w:id="16"/>
    </w:p>
    <w:p w:rsidR="002D2ADF" w:rsidRDefault="002D2ADF" w:rsidP="00A658E4">
      <w:pPr>
        <w:ind w:right="-113"/>
      </w:pPr>
      <w:r>
        <w:t>Some people argue that common law systems operate better in privately underwritten schemes. Because private insurers and injured claimants are each trying to maximise their position, they will eventually negotiate to a final lump sum. The insurer is able to extinguish their liability upon settlement. With the shift to private underwriting in South Australia in 2016, this will leave Western Australia as the sole publicly underwritten State still using common law for CTP.</w:t>
      </w:r>
    </w:p>
    <w:p w:rsidR="002D2ADF" w:rsidRDefault="002D2ADF" w:rsidP="00A658E4">
      <w:pPr>
        <w:ind w:right="-113"/>
      </w:pPr>
      <w:r>
        <w:t xml:space="preserve">A defined </w:t>
      </w:r>
      <w:proofErr w:type="gramStart"/>
      <w:r>
        <w:t>benefits</w:t>
      </w:r>
      <w:proofErr w:type="gramEnd"/>
      <w:r>
        <w:t>, no-fault scheme is typically delivered by publicly underwritten monopoly providers in Australia and New Zealand, though there are a few exceptions overseas. The primary concern is that private capital does not work well in schemes in which some injured people may need benefits for the rest of their life. This is a reason why the public sector underwrites the LTCS sch</w:t>
      </w:r>
      <w:r w:rsidR="00A658E4">
        <w:t xml:space="preserve">eme. Arguably, however, private </w:t>
      </w:r>
      <w:r>
        <w:t>insurers are well placed to deal with the large volume of smaller claims and can effectively manage such a system if there is a mechanism to commute claims.</w:t>
      </w:r>
    </w:p>
    <w:p w:rsidR="009B7CEC" w:rsidRDefault="002D2ADF" w:rsidP="00A658E4">
      <w:pPr>
        <w:ind w:right="-113"/>
      </w:pPr>
      <w:r>
        <w:t>It is also likely that some vehicle types (e.g. motorcycles) would see their premiums rise in the absence of certain controls in a no-fault scheme. Cross-subsidisation is easier to manage in a monopoly system, so a competitive system would need controls put in place to ensure affordability.</w:t>
      </w:r>
      <w:r w:rsidR="009B7CEC">
        <w:br w:type="page"/>
      </w:r>
    </w:p>
    <w:p w:rsidR="009B7CEC" w:rsidRDefault="009B7CEC" w:rsidP="00744FA1">
      <w:pPr>
        <w:pStyle w:val="SectionHeadingNonToC"/>
        <w:framePr w:wrap="around"/>
      </w:pPr>
      <w:r w:rsidRPr="009B7CEC">
        <w:lastRenderedPageBreak/>
        <w:t>Some policy issues</w:t>
      </w:r>
    </w:p>
    <w:p w:rsidR="009B7CEC" w:rsidRDefault="009B7CEC" w:rsidP="009B7CEC">
      <w:r>
        <w:t>In order to better deliver affordability if competitive underwriting is retained, the Government is giving consideration to the development of a risk pooling arrangement as an alternative to the current premium system. Risk pooling involves insurers coming together to form a pool so as to provide protection to insurers against catastrophic risk. This would apply in either a no-fault or fault-based system, though it would be imperative in a no-fault scheme to ensure that some prices did not escalate excessively. Risk pooling was an explicit recommendation of the independent review of insurer profit and competition. The current competitive system does not easily permit the transfer of cross subsidies from one risk to another. However, risk pooling may reduce the incentive on private insurers to price keenly, and can be seen as rewarding the less efficient insurer.</w:t>
      </w:r>
    </w:p>
    <w:p w:rsidR="009B7CEC" w:rsidRDefault="009B7CEC" w:rsidP="009B7CEC">
      <w:pPr>
        <w:pStyle w:val="Heading1"/>
      </w:pPr>
      <w:bookmarkStart w:id="17" w:name="_Toc448404735"/>
      <w:r>
        <w:t>Wrong doing</w:t>
      </w:r>
      <w:bookmarkEnd w:id="17"/>
      <w:r>
        <w:t xml:space="preserve"> </w:t>
      </w:r>
    </w:p>
    <w:p w:rsidR="009B7CEC" w:rsidRDefault="009B7CEC" w:rsidP="009B7CEC">
      <w:r>
        <w:t>A feature of most fault-based compensation schemes is the concept of contributory negligence, which in the current CTP scheme is a reduction in any entitlements as a result of the injured person doing, or not doing, something that subsequently contributes to their injuries (even though they did not cause the accident as such). Examples include a passenger in a car not wearing a seatbelt or a pedestrian who crosses the road against the lights or away from a nearby crossing.</w:t>
      </w:r>
    </w:p>
    <w:p w:rsidR="009B7CEC" w:rsidRDefault="009B7CEC" w:rsidP="009B7CEC">
      <w:r>
        <w:t>In the current CTP scheme the award of damages is reduced by the same percentage as the claimant’s negligence. Deciding the degree of negligence can be subjective and is settled by agreement between the insurer and claimant or by SIRA’s dispute resolution service or the court.</w:t>
      </w:r>
    </w:p>
    <w:p w:rsidR="009B7CEC" w:rsidRDefault="009B7CEC" w:rsidP="009B7CEC">
      <w:r>
        <w:t xml:space="preserve">Some will argue it is a fair outcome that contributory negligence is applied, while others will argue that since it was not the injured passenger or pedestrian who caused the accident they should not be penalised. There are different approaches to when and how contributory negligence is applied in no-fault schemes in other jurisdictions, specifically in terms of which benefits are reduced, or the way contributory negligence is calculated. </w:t>
      </w:r>
    </w:p>
    <w:p w:rsidR="009B7CEC" w:rsidRDefault="009B7CEC" w:rsidP="009B7CEC">
      <w:r>
        <w:t xml:space="preserve">In fault-based schemes, the driver at fault is excluded from benefits and must rely on other support systems. This is seen by some as a just way of penalising them for their wrong-doing. However, it excludes people who have a momentary lapse or were injured after hitting an animal, which could leave them destitute. </w:t>
      </w:r>
    </w:p>
    <w:p w:rsidR="009B7CEC" w:rsidRDefault="009B7CEC" w:rsidP="009B7CEC">
      <w:r>
        <w:t>In most no-fault schemes, however, access to benefits is not permitted where people are injured by their own serious wrong doing i.e. serious cases of negligence, criminal activity, intoxication or self-harm. In the Victorian no-fault scheme drivers convicted of dangerous driving causing death or serious injury are not entitled to compensation. However, if they are seriously injured, they are eligible for medical treatment and related care services. Those convicted of driving under the influence of alcohol or drugs, driving without a licence, stealing the vehicle or using it to escape are not eligible for income replacement.</w:t>
      </w:r>
    </w:p>
    <w:p w:rsidR="009B7CEC" w:rsidRDefault="009B7CEC" w:rsidP="009B7CEC">
      <w:pPr>
        <w:pStyle w:val="Heading1"/>
      </w:pPr>
      <w:bookmarkStart w:id="18" w:name="_Toc448404736"/>
      <w:r>
        <w:t>Adequacy and consistency of lump sum payments</w:t>
      </w:r>
      <w:bookmarkEnd w:id="18"/>
    </w:p>
    <w:p w:rsidR="009B7CEC" w:rsidRDefault="009B7CEC" w:rsidP="009B7CEC">
      <w:r>
        <w:t xml:space="preserve">Common law systems typically pay once-only lump sums. Some people argue that lump sums create incentives to exaggerate claims to maximise payments (and for insurers to negotiate equally hard to keep payments down). They also argue that the payment of a lump sum also means that, for the injured person, no further support from the insurer will be provided after that time, including in particular, further assistance in the event that injuries subsequently deteriorate. </w:t>
      </w:r>
    </w:p>
    <w:p w:rsidR="009B7CEC" w:rsidRDefault="009B7CEC" w:rsidP="009B7CEC">
      <w:r>
        <w:t>Recipients of lump sums also need to manage the lump sum for the rest of their life to ensure they have ongoing access to support. This means they are exposed to fluctuations in economic markets, which may see the value of their investments fall. Recipients of lump sums also need to avoid the temptation to use the lump sum for purposes unrelated to their injury. When the lump sum runs out, the injured person may be left to fend for themselves, or end up back on publicly funded support, eroding the purpose of insurance.</w:t>
      </w:r>
      <w:r>
        <w:br w:type="page"/>
      </w:r>
    </w:p>
    <w:p w:rsidR="009B7CEC" w:rsidRDefault="009B7CEC" w:rsidP="003A781A">
      <w:pPr>
        <w:pStyle w:val="SectionHeadingNonToC"/>
        <w:framePr w:wrap="around"/>
      </w:pPr>
      <w:r w:rsidRPr="009B7CEC">
        <w:lastRenderedPageBreak/>
        <w:t>Some policy issues</w:t>
      </w:r>
    </w:p>
    <w:p w:rsidR="009B7CEC" w:rsidRDefault="009B7CEC" w:rsidP="009B7CEC">
      <w:r>
        <w:t xml:space="preserve">Another aspect is the wide variation in lump sum settlements. Injuries, even when distinctly similar in nature, often attract disparate amounts of compensation. For example, compensation for minor injuries such as low level whiplash, sprain or moderate bruising can range from $10,000 to $120,000. </w:t>
      </w:r>
    </w:p>
    <w:p w:rsidR="009B7CEC" w:rsidRDefault="009B7CEC" w:rsidP="009B7CEC">
      <w:r>
        <w:t>However, lump sum settlements have the benefit of allowing the recipient to make their own choices about how they support themselves into the future, while the insurer in turn is removed from ongoing liability for payments. It also permits negotiation for a settlement that is more closely linked to the needs of the individual, rather than relying on a pre-determined funding formula, and ongoing dependence on the insurance system.</w:t>
      </w:r>
    </w:p>
    <w:p w:rsidR="009B7CEC" w:rsidRDefault="008A0B9B" w:rsidP="008A0B9B">
      <w:pPr>
        <w:pStyle w:val="Heading1"/>
      </w:pPr>
      <w:r>
        <w:br w:type="column"/>
      </w:r>
      <w:bookmarkStart w:id="19" w:name="_Toc448404737"/>
      <w:r w:rsidR="009B7CEC">
        <w:t>Abuse of the system</w:t>
      </w:r>
      <w:bookmarkEnd w:id="19"/>
    </w:p>
    <w:p w:rsidR="009B7CEC" w:rsidRDefault="009B7CEC" w:rsidP="009B7CEC">
      <w:r>
        <w:t>Compensation systems can encourage people to abuse the system. This can include ‘soft fraud’ such as the embellishment or exaggeration of injuries by claimants (and occasionally ‘hard fraud’ such as a staged or fictitious crash) as the benefits paid often depend upon an assessment of the severity of the injury. This can be hard to prove or disprove. The common law lump sum scheme design may also encourage unacceptable behaviours by service providers, who may assist these claimants to build a case. A different scheme design may reduce or remove the opportunity or incentives to abuse the system which will ultimately result in reduced Green Slip costs for vehicle owners.</w:t>
      </w:r>
    </w:p>
    <w:p w:rsidR="003F7C2A" w:rsidRDefault="003F7C2A" w:rsidP="009B7CEC"/>
    <w:p w:rsidR="003F7C2A" w:rsidRDefault="003F7C2A" w:rsidP="009B7CEC"/>
    <w:p w:rsidR="003F7C2A" w:rsidRDefault="003F7C2A" w:rsidP="009B7CEC"/>
    <w:p w:rsidR="003F7C2A" w:rsidRDefault="003F7C2A" w:rsidP="009B7CEC"/>
    <w:p w:rsidR="003F7C2A" w:rsidRDefault="003F7C2A" w:rsidP="009B7CEC"/>
    <w:tbl>
      <w:tblPr>
        <w:tblStyle w:val="PlaceholderGrid"/>
        <w:tblpPr w:leftFromText="181" w:rightFromText="181" w:topFromText="170" w:bottomFromText="170" w:vertAnchor="text" w:horzAnchor="page" w:tblpX="852" w:tblpY="-56"/>
        <w:tblOverlap w:val="never"/>
        <w:tblW w:w="10206" w:type="dxa"/>
        <w:tblLayout w:type="fixed"/>
        <w:tblLook w:val="04A0" w:firstRow="1" w:lastRow="0" w:firstColumn="1" w:lastColumn="0" w:noHBand="0" w:noVBand="1"/>
        <w:tblCaption w:val="Grid placeholder for Questions on policy considerations"/>
      </w:tblPr>
      <w:tblGrid>
        <w:gridCol w:w="10206"/>
      </w:tblGrid>
      <w:tr w:rsidR="003F7C2A" w:rsidTr="00D403A8">
        <w:trPr>
          <w:trHeight w:val="1469"/>
          <w:tblHeader/>
        </w:trPr>
        <w:tc>
          <w:tcPr>
            <w:tcW w:w="10206" w:type="dxa"/>
          </w:tcPr>
          <w:p w:rsidR="003F7C2A" w:rsidRPr="008A0B9B" w:rsidRDefault="003F7C2A" w:rsidP="008A0B9B">
            <w:pPr>
              <w:pStyle w:val="PullOutHeading"/>
              <w:framePr w:hSpace="0" w:vSpace="0" w:wrap="auto" w:vAnchor="margin" w:hAnchor="text" w:xAlign="left" w:yAlign="inline"/>
              <w:suppressOverlap w:val="0"/>
            </w:pPr>
            <w:r w:rsidRPr="008A0B9B">
              <w:t>Questions on policy considerations</w:t>
            </w:r>
          </w:p>
          <w:p w:rsidR="003F7C2A" w:rsidRDefault="003F7C2A" w:rsidP="00D403A8">
            <w:pPr>
              <w:pStyle w:val="ListNumber"/>
            </w:pPr>
            <w:r>
              <w:t>Should there be support or a safety net for anyone injured on the roads by vehicles that are not part of the insurance system (like bicycles) even if that increases the overall cost of CTP?</w:t>
            </w:r>
          </w:p>
          <w:p w:rsidR="003F7C2A" w:rsidRDefault="003F7C2A" w:rsidP="00D403A8">
            <w:pPr>
              <w:pStyle w:val="ListNumber"/>
            </w:pPr>
            <w:r>
              <w:t>Is it better to make a claim against your own insurer as opposed to the insurer of the at-fault driver? If so, why?</w:t>
            </w:r>
          </w:p>
          <w:p w:rsidR="003F7C2A" w:rsidRDefault="003F7C2A" w:rsidP="00D403A8">
            <w:pPr>
              <w:pStyle w:val="ListNumber"/>
            </w:pPr>
            <w:r>
              <w:t>Should Government retain competitive private underwriting, or give consideration to a return to public underwriting delivery?</w:t>
            </w:r>
          </w:p>
          <w:p w:rsidR="003F7C2A" w:rsidRDefault="003F7C2A" w:rsidP="00D403A8">
            <w:pPr>
              <w:pStyle w:val="ListNumber"/>
            </w:pPr>
            <w:r>
              <w:t>How should Government best deal with fault (including injuries without another party to sue), illegal acts and contributory negligence in any reform?</w:t>
            </w:r>
          </w:p>
          <w:p w:rsidR="003F7C2A" w:rsidRDefault="003F7C2A" w:rsidP="00D403A8">
            <w:pPr>
              <w:pStyle w:val="ListNumber"/>
            </w:pPr>
            <w:r>
              <w:t>What changes to the CTP scheme could increase competition?</w:t>
            </w:r>
          </w:p>
        </w:tc>
      </w:tr>
    </w:tbl>
    <w:p w:rsidR="003F7C2A" w:rsidRPr="009B7CEC" w:rsidRDefault="003F7C2A" w:rsidP="009B7CEC"/>
    <w:p w:rsidR="0058102D" w:rsidRDefault="0058102D">
      <w:pPr>
        <w:adjustRightInd/>
        <w:snapToGrid/>
        <w:spacing w:after="0" w:line="240" w:lineRule="auto"/>
      </w:pPr>
      <w:r>
        <w:br w:type="page"/>
      </w:r>
    </w:p>
    <w:p w:rsidR="0058102D" w:rsidRDefault="0058102D" w:rsidP="0058102D">
      <w:pPr>
        <w:pStyle w:val="SectionHeading"/>
        <w:framePr w:wrap="around"/>
      </w:pPr>
      <w:bookmarkStart w:id="20" w:name="_Toc448404738"/>
      <w:r w:rsidRPr="0058102D">
        <w:lastRenderedPageBreak/>
        <w:t>Potential reform options</w:t>
      </w:r>
      <w:bookmarkEnd w:id="20"/>
    </w:p>
    <w:p w:rsidR="006A5BFB" w:rsidRDefault="0058102D" w:rsidP="0058102D">
      <w:r>
        <w:t>The options that we are seeking comment on are based on schemes that are fault-based (lump sum, common law) or no-fault (defined benefits, paid periodically). As the current NSW system is fault-based, the options begin with incremental improvements to the current system, and move towards a more defined-benefits, no fault system.</w:t>
      </w:r>
    </w:p>
    <w:p w:rsidR="0058102D" w:rsidRDefault="00C76258" w:rsidP="0058102D">
      <w:r>
        <w:br w:type="column"/>
      </w:r>
      <w:r w:rsidR="0058102D">
        <w:t>The options presented below are not exhaustive and there are variations within each option. Comment is sought on the overall merits of the options, as well as any other issues that need consideration.</w:t>
      </w:r>
    </w:p>
    <w:p w:rsidR="0096597E" w:rsidRDefault="0096597E" w:rsidP="0058102D"/>
    <w:p w:rsidR="00C76258" w:rsidRDefault="00C76258" w:rsidP="0058102D"/>
    <w:p w:rsidR="006A5BFB" w:rsidRPr="0058102D" w:rsidRDefault="006A5BFB" w:rsidP="0058102D"/>
    <w:tbl>
      <w:tblPr>
        <w:tblStyle w:val="TransurbanTable"/>
        <w:tblpPr w:leftFromText="181" w:rightFromText="181" w:bottomFromText="113" w:vertAnchor="text" w:horzAnchor="page" w:tblpX="852" w:tblpY="58"/>
        <w:tblOverlap w:val="never"/>
        <w:tblW w:w="10206" w:type="dxa"/>
        <w:tblLook w:val="01C0" w:firstRow="0" w:lastRow="1" w:firstColumn="1" w:lastColumn="1" w:noHBand="0" w:noVBand="0"/>
        <w:tblCaption w:val="Potential reform options"/>
      </w:tblPr>
      <w:tblGrid>
        <w:gridCol w:w="1644"/>
        <w:gridCol w:w="2380"/>
        <w:gridCol w:w="2062"/>
        <w:gridCol w:w="2062"/>
        <w:gridCol w:w="2058"/>
      </w:tblGrid>
      <w:tr w:rsidR="0058102D" w:rsidRPr="003A4EBF" w:rsidTr="00D72E2C">
        <w:trPr>
          <w:tblHeader/>
        </w:trPr>
        <w:tc>
          <w:tcPr>
            <w:cnfStyle w:val="001000000000" w:firstRow="0" w:lastRow="0" w:firstColumn="1" w:lastColumn="0" w:oddVBand="0" w:evenVBand="0" w:oddHBand="0" w:evenHBand="0" w:firstRowFirstColumn="0" w:firstRowLastColumn="0" w:lastRowFirstColumn="0" w:lastRowLastColumn="0"/>
            <w:tcW w:w="805" w:type="pct"/>
          </w:tcPr>
          <w:p w:rsidR="0058102D" w:rsidRPr="007B20A4" w:rsidRDefault="0058102D" w:rsidP="007B20A4">
            <w:pPr>
              <w:pStyle w:val="TableHeading"/>
            </w:pPr>
            <w:r w:rsidRPr="007B20A4">
              <w:t xml:space="preserve">Potential </w:t>
            </w:r>
          </w:p>
          <w:p w:rsidR="0058102D" w:rsidRPr="007B20A4" w:rsidRDefault="0058102D" w:rsidP="007B20A4">
            <w:pPr>
              <w:pStyle w:val="TableHeading"/>
            </w:pPr>
            <w:r w:rsidRPr="007B20A4">
              <w:t>Reform Options</w:t>
            </w:r>
          </w:p>
        </w:tc>
        <w:tc>
          <w:tcPr>
            <w:tcW w:w="1166"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 xml:space="preserve">Option 1 – </w:t>
            </w:r>
            <w:r w:rsidRPr="007B20A4">
              <w:br/>
              <w:t>Retain the current common law, fault-based scheme with process improvements (no change in benefits)</w:t>
            </w:r>
          </w:p>
        </w:tc>
        <w:tc>
          <w:tcPr>
            <w:tcW w:w="1010"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 xml:space="preserve">Option 2 – </w:t>
            </w:r>
          </w:p>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Retain the current common law, fault-based scheme with adjustments to benefit levels as well as process improvements</w:t>
            </w:r>
          </w:p>
        </w:tc>
        <w:tc>
          <w:tcPr>
            <w:tcW w:w="1010"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 xml:space="preserve">Option 3 – </w:t>
            </w:r>
            <w:r w:rsidRPr="007B20A4">
              <w:br/>
              <w:t>Move to a hybrid no-fault, defined benefits scheme with common law benefits retained in parallel</w:t>
            </w:r>
          </w:p>
        </w:tc>
        <w:tc>
          <w:tcPr>
            <w:tcW w:w="1008"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 xml:space="preserve">Option 4 – </w:t>
            </w:r>
            <w:r w:rsidRPr="007B20A4">
              <w:br/>
              <w:t>Move to a fully no-fault, defined benefits scheme with caps, thresholds and no common law</w:t>
            </w:r>
          </w:p>
        </w:tc>
      </w:tr>
      <w:tr w:rsidR="0058102D" w:rsidRPr="003A4EBF" w:rsidTr="00D72E2C">
        <w:tc>
          <w:tcPr>
            <w:cnfStyle w:val="001000000000" w:firstRow="0" w:lastRow="0" w:firstColumn="1" w:lastColumn="0" w:oddVBand="0" w:evenVBand="0" w:oddHBand="0" w:evenHBand="0" w:firstRowFirstColumn="0" w:firstRowLastColumn="0" w:lastRowFirstColumn="0" w:lastRowLastColumn="0"/>
            <w:tcW w:w="805" w:type="pct"/>
          </w:tcPr>
          <w:p w:rsidR="0058102D" w:rsidRPr="007B20A4" w:rsidRDefault="0058102D" w:rsidP="007B20A4">
            <w:pPr>
              <w:pStyle w:val="TableHeading"/>
            </w:pPr>
            <w:r w:rsidRPr="007B20A4">
              <w:t>Scheme type</w:t>
            </w:r>
          </w:p>
        </w:tc>
        <w:tc>
          <w:tcPr>
            <w:tcW w:w="1166"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Primarily fault-based, common law, lump sum settlements.</w:t>
            </w:r>
          </w:p>
        </w:tc>
        <w:tc>
          <w:tcPr>
            <w:tcW w:w="1010"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Primarily fault-based, common law, lump sum settlements.</w:t>
            </w:r>
          </w:p>
        </w:tc>
        <w:tc>
          <w:tcPr>
            <w:tcW w:w="1010"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No-fault, defined benefits, lump sum for the most seriously injured.</w:t>
            </w:r>
          </w:p>
        </w:tc>
        <w:tc>
          <w:tcPr>
            <w:tcW w:w="1008"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No-fault, defined benefits, no common law.</w:t>
            </w:r>
          </w:p>
        </w:tc>
      </w:tr>
      <w:tr w:rsidR="0058102D" w:rsidRPr="003A4EBF" w:rsidTr="00D72E2C">
        <w:tc>
          <w:tcPr>
            <w:cnfStyle w:val="001000000000" w:firstRow="0" w:lastRow="0" w:firstColumn="1" w:lastColumn="0" w:oddVBand="0" w:evenVBand="0" w:oddHBand="0" w:evenHBand="0" w:firstRowFirstColumn="0" w:firstRowLastColumn="0" w:lastRowFirstColumn="0" w:lastRowLastColumn="0"/>
            <w:tcW w:w="805" w:type="pct"/>
          </w:tcPr>
          <w:p w:rsidR="0058102D" w:rsidRPr="007B20A4" w:rsidRDefault="0058102D" w:rsidP="007B20A4">
            <w:pPr>
              <w:pStyle w:val="TableHeading"/>
            </w:pPr>
            <w:r w:rsidRPr="007B20A4">
              <w:t>Defining features</w:t>
            </w:r>
          </w:p>
        </w:tc>
        <w:tc>
          <w:tcPr>
            <w:tcW w:w="1166"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This option proposes retaining the current primarily fault-based, common law CTP scheme with process improvements such as changes to dispute services, premium system and insurer regulation.</w:t>
            </w:r>
          </w:p>
        </w:tc>
        <w:tc>
          <w:tcPr>
            <w:tcW w:w="1010"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This option proposes retaining the current primarily fault-based, common law CTP scheme with process improvements as per Option 1 and revised caps and benefits.</w:t>
            </w:r>
          </w:p>
        </w:tc>
        <w:tc>
          <w:tcPr>
            <w:tcW w:w="1010"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This option proposes introducing defined statutory benefits for anyone injured in a motor vehicle accident, regardless of fault, with the retention of common law benefits for the most seriously injured.</w:t>
            </w:r>
          </w:p>
        </w:tc>
        <w:tc>
          <w:tcPr>
            <w:tcW w:w="1008"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This option proposes introducing a fully no-fault scheme which would provide defined, statutory benefits for anyone injured in a motor vehicle accident, regardless of fault, with no access to common law.</w:t>
            </w:r>
          </w:p>
        </w:tc>
      </w:tr>
      <w:tr w:rsidR="0058102D" w:rsidRPr="003A4EBF" w:rsidTr="00D72E2C">
        <w:tc>
          <w:tcPr>
            <w:cnfStyle w:val="001000000000" w:firstRow="0" w:lastRow="0" w:firstColumn="1" w:lastColumn="0" w:oddVBand="0" w:evenVBand="0" w:oddHBand="0" w:evenHBand="0" w:firstRowFirstColumn="0" w:firstRowLastColumn="0" w:lastRowFirstColumn="0" w:lastRowLastColumn="0"/>
            <w:tcW w:w="805" w:type="pct"/>
          </w:tcPr>
          <w:p w:rsidR="0058102D" w:rsidRPr="007B20A4" w:rsidRDefault="0058102D" w:rsidP="007B20A4">
            <w:pPr>
              <w:pStyle w:val="TableHeading"/>
            </w:pPr>
            <w:r w:rsidRPr="007B20A4">
              <w:t>Where else this scheme operates</w:t>
            </w:r>
          </w:p>
        </w:tc>
        <w:tc>
          <w:tcPr>
            <w:tcW w:w="1166"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 xml:space="preserve">NSW </w:t>
            </w:r>
            <w:r w:rsidR="007B20A4">
              <w:br/>
            </w:r>
            <w:r w:rsidRPr="007B20A4">
              <w:t>ACT</w:t>
            </w:r>
          </w:p>
        </w:tc>
        <w:tc>
          <w:tcPr>
            <w:tcW w:w="1010"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 xml:space="preserve">Queensland </w:t>
            </w:r>
            <w:r w:rsidR="007B20A4">
              <w:br/>
              <w:t>South Australia</w:t>
            </w:r>
            <w:r w:rsidR="007B20A4">
              <w:br/>
            </w:r>
            <w:r w:rsidRPr="007B20A4">
              <w:t>Western Australia</w:t>
            </w:r>
          </w:p>
        </w:tc>
        <w:tc>
          <w:tcPr>
            <w:tcW w:w="1010"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 xml:space="preserve">Victoria </w:t>
            </w:r>
            <w:r w:rsidR="007B20A4">
              <w:br/>
            </w:r>
            <w:r w:rsidRPr="007B20A4">
              <w:t>Tasmania</w:t>
            </w:r>
          </w:p>
        </w:tc>
        <w:tc>
          <w:tcPr>
            <w:tcW w:w="1008" w:type="pct"/>
          </w:tcPr>
          <w:p w:rsidR="0058102D" w:rsidRPr="007B20A4" w:rsidRDefault="0058102D" w:rsidP="007B20A4">
            <w:pPr>
              <w:pStyle w:val="TableText"/>
              <w:cnfStyle w:val="000000000000" w:firstRow="0" w:lastRow="0" w:firstColumn="0" w:lastColumn="0" w:oddVBand="0" w:evenVBand="0" w:oddHBand="0" w:evenHBand="0" w:firstRowFirstColumn="0" w:firstRowLastColumn="0" w:lastRowFirstColumn="0" w:lastRowLastColumn="0"/>
            </w:pPr>
            <w:r w:rsidRPr="007B20A4">
              <w:t>New Zealand</w:t>
            </w:r>
            <w:r w:rsidR="007B20A4">
              <w:br/>
            </w:r>
            <w:r w:rsidRPr="007B20A4">
              <w:t>Northern Territory</w:t>
            </w:r>
          </w:p>
        </w:tc>
      </w:tr>
    </w:tbl>
    <w:p w:rsidR="00A4001A" w:rsidRDefault="00A4001A">
      <w:pPr>
        <w:adjustRightInd/>
        <w:snapToGrid/>
        <w:spacing w:after="0" w:line="240" w:lineRule="auto"/>
      </w:pPr>
    </w:p>
    <w:p w:rsidR="00A4001A" w:rsidRDefault="00A4001A">
      <w:pPr>
        <w:adjustRightInd/>
        <w:snapToGrid/>
        <w:spacing w:after="0" w:line="240" w:lineRule="auto"/>
      </w:pPr>
      <w:r>
        <w:br w:type="page"/>
      </w:r>
    </w:p>
    <w:p w:rsidR="00A4001A" w:rsidRDefault="00A4001A" w:rsidP="003A781A">
      <w:pPr>
        <w:pStyle w:val="SectionHeadingNonToC"/>
        <w:framePr w:wrap="around"/>
      </w:pPr>
      <w:r w:rsidRPr="00A4001A">
        <w:lastRenderedPageBreak/>
        <w:t>Potential reform options</w:t>
      </w:r>
    </w:p>
    <w:p w:rsidR="00A4001A" w:rsidRDefault="00A4001A" w:rsidP="00A4001A">
      <w:pPr>
        <w:pStyle w:val="Heading1"/>
      </w:pPr>
      <w:bookmarkStart w:id="21" w:name="_Toc448404739"/>
      <w:r>
        <w:t>Option 1 – Retain the current common law, fault-based scheme with process improvements</w:t>
      </w:r>
      <w:bookmarkEnd w:id="21"/>
    </w:p>
    <w:p w:rsidR="00A4001A" w:rsidRDefault="00A4001A" w:rsidP="00A4001A">
      <w:r>
        <w:t xml:space="preserve">This option would involve retaining the current benefit structure but introducing improvements to processes especially where there is currently a high level of dispute. For example: </w:t>
      </w:r>
    </w:p>
    <w:p w:rsidR="00A4001A" w:rsidRDefault="00A4001A" w:rsidP="00A4001A">
      <w:pPr>
        <w:pStyle w:val="ListBullet"/>
      </w:pPr>
      <w:r>
        <w:t>mandatory assessment processes after a certain time period rather than allowing claims to remain open indefinitely</w:t>
      </w:r>
    </w:p>
    <w:p w:rsidR="00A4001A" w:rsidRDefault="00A4001A" w:rsidP="00A4001A">
      <w:pPr>
        <w:pStyle w:val="ListBullet"/>
      </w:pPr>
      <w:r>
        <w:t>internal review processes and compulsory mediation in claims prior to legal assessment</w:t>
      </w:r>
    </w:p>
    <w:p w:rsidR="00A4001A" w:rsidRDefault="00A4001A" w:rsidP="00A4001A">
      <w:pPr>
        <w:pStyle w:val="ListBullet"/>
      </w:pPr>
      <w:r>
        <w:t>lost earnings payments being available periodically rather than waiting for settlement for payment</w:t>
      </w:r>
    </w:p>
    <w:p w:rsidR="0030289E" w:rsidRDefault="0030289E" w:rsidP="00A4001A">
      <w:pPr>
        <w:pStyle w:val="ListBullet"/>
        <w:numPr>
          <w:ilvl w:val="0"/>
          <w:numId w:val="0"/>
        </w:numPr>
      </w:pPr>
    </w:p>
    <w:p w:rsidR="00A4001A" w:rsidRDefault="00A4001A" w:rsidP="004F70AB">
      <w:pPr>
        <w:pStyle w:val="Heading1NonToC"/>
      </w:pPr>
      <w:r w:rsidRPr="00472E31">
        <w:t>How does this option address the objectives?</w:t>
      </w:r>
    </w:p>
    <w:tbl>
      <w:tblPr>
        <w:tblStyle w:val="TransurbanTable"/>
        <w:tblpPr w:leftFromText="181" w:rightFromText="181" w:bottomFromText="113" w:vertAnchor="text" w:horzAnchor="page" w:tblpX="852" w:tblpY="58"/>
        <w:tblOverlap w:val="never"/>
        <w:tblW w:w="10206" w:type="dxa"/>
        <w:tblLook w:val="01C0" w:firstRow="0" w:lastRow="1" w:firstColumn="1" w:lastColumn="1" w:noHBand="0" w:noVBand="0"/>
        <w:tblCaption w:val="How does this option address the objectives?"/>
      </w:tblPr>
      <w:tblGrid>
        <w:gridCol w:w="2412"/>
        <w:gridCol w:w="7794"/>
      </w:tblGrid>
      <w:tr w:rsidR="00744FA1" w:rsidRPr="003A4EBF" w:rsidTr="00744FA1">
        <w:trPr>
          <w:tblHeader/>
        </w:trPr>
        <w:tc>
          <w:tcPr>
            <w:cnfStyle w:val="001000000000" w:firstRow="0" w:lastRow="0" w:firstColumn="1" w:lastColumn="0" w:oddVBand="0" w:evenVBand="0" w:oddHBand="0" w:evenHBand="0" w:firstRowFirstColumn="0" w:firstRowLastColumn="0" w:lastRowFirstColumn="0" w:lastRowLastColumn="0"/>
            <w:tcW w:w="2404" w:type="dxa"/>
            <w:vAlign w:val="center"/>
          </w:tcPr>
          <w:p w:rsidR="00744FA1" w:rsidRPr="00204ED1" w:rsidRDefault="00744FA1" w:rsidP="00744FA1">
            <w:pPr>
              <w:pStyle w:val="TableHeading"/>
            </w:pPr>
            <w:r w:rsidRPr="00204ED1">
              <w:t>Propo</w:t>
            </w:r>
            <w:r w:rsidRPr="0030289E">
              <w:t>rtion of benefits (efficie</w:t>
            </w:r>
            <w:r w:rsidRPr="00204ED1">
              <w:t>ncy)</w:t>
            </w:r>
          </w:p>
        </w:tc>
        <w:tc>
          <w:tcPr>
            <w:tcW w:w="7768" w:type="dxa"/>
            <w:vAlign w:val="center"/>
          </w:tcPr>
          <w:p w:rsidR="00744FA1" w:rsidRPr="00744FA1" w:rsidRDefault="00744FA1" w:rsidP="00744FA1">
            <w:pPr>
              <w:pStyle w:val="TableText"/>
              <w:cnfStyle w:val="000000000000" w:firstRow="0" w:lastRow="0" w:firstColumn="0" w:lastColumn="0" w:oddVBand="0" w:evenVBand="0" w:oddHBand="0" w:evenHBand="0" w:firstRowFirstColumn="0" w:firstRowLastColumn="0" w:lastRowFirstColumn="0" w:lastRowLastColumn="0"/>
            </w:pPr>
            <w:r>
              <w:rPr>
                <w:rStyle w:val="A8"/>
              </w:rPr>
              <w:t>This option would slightly improve efficiency.</w:t>
            </w:r>
          </w:p>
        </w:tc>
      </w:tr>
      <w:tr w:rsidR="00744FA1" w:rsidRPr="003A4EBF" w:rsidTr="00744FA1">
        <w:tc>
          <w:tcPr>
            <w:cnfStyle w:val="001000000000" w:firstRow="0" w:lastRow="0" w:firstColumn="1" w:lastColumn="0" w:oddVBand="0" w:evenVBand="0" w:oddHBand="0" w:evenHBand="0" w:firstRowFirstColumn="0" w:firstRowLastColumn="0" w:lastRowFirstColumn="0" w:lastRowLastColumn="0"/>
            <w:tcW w:w="2404" w:type="dxa"/>
            <w:vAlign w:val="center"/>
          </w:tcPr>
          <w:p w:rsidR="00744FA1" w:rsidRPr="00204ED1" w:rsidRDefault="00744FA1" w:rsidP="00744FA1">
            <w:pPr>
              <w:pStyle w:val="TableHeading"/>
            </w:pPr>
            <w:r w:rsidRPr="00204ED1">
              <w:t>Timeliness</w:t>
            </w:r>
          </w:p>
        </w:tc>
        <w:tc>
          <w:tcPr>
            <w:tcW w:w="7768" w:type="dxa"/>
            <w:vAlign w:val="center"/>
          </w:tcPr>
          <w:p w:rsidR="00744FA1" w:rsidRPr="00744FA1" w:rsidRDefault="00744FA1" w:rsidP="00744FA1">
            <w:pPr>
              <w:pStyle w:val="TableText"/>
              <w:cnfStyle w:val="000000000000" w:firstRow="0" w:lastRow="0" w:firstColumn="0" w:lastColumn="0" w:oddVBand="0" w:evenVBand="0" w:oddHBand="0" w:evenHBand="0" w:firstRowFirstColumn="0" w:firstRowLastColumn="0" w:lastRowFirstColumn="0" w:lastRowLastColumn="0"/>
            </w:pPr>
            <w:r>
              <w:rPr>
                <w:rStyle w:val="A8"/>
              </w:rPr>
              <w:t>Changes to claims and dispute resolution processes may slightly improve timeliness for some claims but many will see no impact.</w:t>
            </w:r>
          </w:p>
        </w:tc>
      </w:tr>
      <w:tr w:rsidR="00744FA1" w:rsidRPr="003A4EBF" w:rsidTr="00744FA1">
        <w:tc>
          <w:tcPr>
            <w:cnfStyle w:val="001000000000" w:firstRow="0" w:lastRow="0" w:firstColumn="1" w:lastColumn="0" w:oddVBand="0" w:evenVBand="0" w:oddHBand="0" w:evenHBand="0" w:firstRowFirstColumn="0" w:firstRowLastColumn="0" w:lastRowFirstColumn="0" w:lastRowLastColumn="0"/>
            <w:tcW w:w="2404" w:type="dxa"/>
            <w:vAlign w:val="center"/>
          </w:tcPr>
          <w:p w:rsidR="00744FA1" w:rsidRPr="00204ED1" w:rsidRDefault="00744FA1" w:rsidP="00744FA1">
            <w:pPr>
              <w:pStyle w:val="TableHeading"/>
            </w:pPr>
            <w:r w:rsidRPr="00204ED1">
              <w:t>Fraud and exaggeration</w:t>
            </w:r>
          </w:p>
        </w:tc>
        <w:tc>
          <w:tcPr>
            <w:tcW w:w="7768" w:type="dxa"/>
            <w:vAlign w:val="center"/>
          </w:tcPr>
          <w:p w:rsidR="00744FA1" w:rsidRPr="00744FA1" w:rsidRDefault="00744FA1" w:rsidP="00744FA1">
            <w:pPr>
              <w:pStyle w:val="TableText"/>
              <w:cnfStyle w:val="000000000000" w:firstRow="0" w:lastRow="0" w:firstColumn="0" w:lastColumn="0" w:oddVBand="0" w:evenVBand="0" w:oddHBand="0" w:evenHBand="0" w:firstRowFirstColumn="0" w:firstRowLastColumn="0" w:lastRowFirstColumn="0" w:lastRowLastColumn="0"/>
            </w:pPr>
            <w:r>
              <w:rPr>
                <w:rStyle w:val="A8"/>
              </w:rPr>
              <w:t xml:space="preserve">There would be tighter provisions dealing with fraud and exaggerated claims. </w:t>
            </w:r>
          </w:p>
        </w:tc>
      </w:tr>
      <w:tr w:rsidR="00744FA1" w:rsidRPr="003A4EBF" w:rsidTr="00744FA1">
        <w:tc>
          <w:tcPr>
            <w:cnfStyle w:val="001000000000" w:firstRow="0" w:lastRow="0" w:firstColumn="1" w:lastColumn="0" w:oddVBand="0" w:evenVBand="0" w:oddHBand="0" w:evenHBand="0" w:firstRowFirstColumn="0" w:firstRowLastColumn="0" w:lastRowFirstColumn="0" w:lastRowLastColumn="0"/>
            <w:tcW w:w="2404" w:type="dxa"/>
            <w:vAlign w:val="center"/>
          </w:tcPr>
          <w:p w:rsidR="00744FA1" w:rsidRDefault="00744FA1" w:rsidP="00744FA1">
            <w:pPr>
              <w:pStyle w:val="TableHeading"/>
            </w:pPr>
            <w:r w:rsidRPr="00204ED1">
              <w:t>Affordability</w:t>
            </w:r>
          </w:p>
        </w:tc>
        <w:tc>
          <w:tcPr>
            <w:tcW w:w="7768" w:type="dxa"/>
            <w:vAlign w:val="center"/>
          </w:tcPr>
          <w:p w:rsidR="00744FA1" w:rsidRPr="00744FA1" w:rsidRDefault="00744FA1" w:rsidP="00744FA1">
            <w:pPr>
              <w:pStyle w:val="TableText"/>
              <w:cnfStyle w:val="000000000000" w:firstRow="0" w:lastRow="0" w:firstColumn="0" w:lastColumn="0" w:oddVBand="0" w:evenVBand="0" w:oddHBand="0" w:evenHBand="0" w:firstRowFirstColumn="0" w:firstRowLastColumn="0" w:lastRowFirstColumn="0" w:lastRowLastColumn="0"/>
            </w:pPr>
            <w:r>
              <w:rPr>
                <w:rStyle w:val="A8"/>
              </w:rPr>
              <w:t>There may be a marginal improvement in affordability as a result of some claims being resolved more quickly and tighter caps on legal costs.</w:t>
            </w:r>
          </w:p>
        </w:tc>
      </w:tr>
    </w:tbl>
    <w:p w:rsidR="0030289E" w:rsidRDefault="0030289E" w:rsidP="0030289E">
      <w:pPr>
        <w:pStyle w:val="ListBullet"/>
        <w:numPr>
          <w:ilvl w:val="0"/>
          <w:numId w:val="0"/>
        </w:numPr>
        <w:ind w:left="284" w:hanging="284"/>
      </w:pPr>
    </w:p>
    <w:p w:rsidR="00A4001A" w:rsidRDefault="007B20A4" w:rsidP="00A4001A">
      <w:pPr>
        <w:pStyle w:val="ListBullet"/>
      </w:pPr>
      <w:r>
        <w:br w:type="column"/>
      </w:r>
      <w:r w:rsidR="00A4001A">
        <w:t>new powers for the regulator to address over-servicing and fraud</w:t>
      </w:r>
    </w:p>
    <w:p w:rsidR="00A4001A" w:rsidRDefault="00A4001A" w:rsidP="00A4001A">
      <w:pPr>
        <w:pStyle w:val="ListBullet"/>
      </w:pPr>
      <w:r>
        <w:t>greater support for claimants provided by SIRA and augmented by better information</w:t>
      </w:r>
    </w:p>
    <w:p w:rsidR="00A4001A" w:rsidRDefault="00A4001A" w:rsidP="00A4001A">
      <w:pPr>
        <w:pStyle w:val="ListBullet"/>
      </w:pPr>
      <w:r>
        <w:t>tighter caps on legal expenses</w:t>
      </w:r>
    </w:p>
    <w:p w:rsidR="00A4001A" w:rsidRDefault="00A4001A" w:rsidP="00A4001A">
      <w:pPr>
        <w:pStyle w:val="ListBullet"/>
      </w:pPr>
      <w:r>
        <w:t>clearer rules around the acceptance of liability and regulated rules around contributory negligence</w:t>
      </w:r>
    </w:p>
    <w:p w:rsidR="00A4001A" w:rsidRDefault="00A4001A" w:rsidP="00A4001A">
      <w:pPr>
        <w:pStyle w:val="ListBullet"/>
      </w:pPr>
      <w:r>
        <w:t>clearer rules around late claims</w:t>
      </w:r>
    </w:p>
    <w:p w:rsidR="00A4001A" w:rsidRPr="00A4001A" w:rsidRDefault="00A4001A" w:rsidP="00A4001A">
      <w:pPr>
        <w:pStyle w:val="ListBullet"/>
      </w:pPr>
      <w:proofErr w:type="gramStart"/>
      <w:r>
        <w:t>new</w:t>
      </w:r>
      <w:proofErr w:type="gramEnd"/>
      <w:r>
        <w:t xml:space="preserve"> regulatory powers to address insurer premiums and profit.</w:t>
      </w:r>
    </w:p>
    <w:p w:rsidR="00A4001A" w:rsidRDefault="00A4001A">
      <w:pPr>
        <w:adjustRightInd/>
        <w:snapToGrid/>
        <w:spacing w:after="0" w:line="240" w:lineRule="auto"/>
      </w:pPr>
      <w:r>
        <w:br w:type="page"/>
      </w:r>
    </w:p>
    <w:p w:rsidR="0030289E" w:rsidRDefault="0030289E" w:rsidP="00744FA1">
      <w:pPr>
        <w:pStyle w:val="SectionHeadingNonToC"/>
        <w:framePr w:wrap="around"/>
      </w:pPr>
      <w:r w:rsidRPr="0030289E">
        <w:lastRenderedPageBreak/>
        <w:t>Potential reform options</w:t>
      </w:r>
    </w:p>
    <w:p w:rsidR="00B40936" w:rsidRDefault="00B40936" w:rsidP="00B40936">
      <w:pPr>
        <w:pStyle w:val="Heading1"/>
      </w:pPr>
      <w:bookmarkStart w:id="22" w:name="_Toc448404740"/>
      <w:r>
        <w:t>Option 2 – Retain the current common law, fault-based scheme with adjustments to benefit levels as well as process improvements</w:t>
      </w:r>
      <w:bookmarkEnd w:id="22"/>
    </w:p>
    <w:p w:rsidR="00B40936" w:rsidRDefault="00B40936" w:rsidP="00B40936">
      <w:r>
        <w:t>This option will include all the procedural improvements of Option 1 but will make adjustments to benefits levels. The benefit levels available under the current NSW CTP scheme are considerably higher than a number of Australian States and Territories as indicated in the Appendix table. This option would make adjustments to current benefit levels under the scheme by making any one or combination of the following reform options:</w:t>
      </w:r>
    </w:p>
    <w:p w:rsidR="00B40936" w:rsidRDefault="00B40936" w:rsidP="00B40936">
      <w:pPr>
        <w:pStyle w:val="Heading3"/>
      </w:pPr>
      <w:r>
        <w:t>Adjustments to payments for non-economic loss</w:t>
      </w:r>
    </w:p>
    <w:p w:rsidR="00B40936" w:rsidRDefault="00B40936" w:rsidP="00B40936">
      <w:r>
        <w:t>Under the current CTP scheme, damages for non-economic loss or ‘pain and suffering’ are only available if the degree of permanent impairment of the injured person as a result the motor vehicle accident is greater than 10%. Where a dispute arises between an insurer and injured person as to the degree of permanent impairment, either party may refer the matter to SIRA’s Medical Assessment Service for independent assessment. A court cannot award damages for non-economic loss unless the parties agree that the impairment exceeds 10% or a medical assessor has certified this.</w:t>
      </w:r>
    </w:p>
    <w:p w:rsidR="00B40936" w:rsidRDefault="00B40936" w:rsidP="00B40936">
      <w:r>
        <w:t xml:space="preserve">The monetary amount for non-economic loss is capped and indexed annually. Currently, the maximum amount that may be awarded for non-economic loss is $511,000, provided the level of whole person impairment (WPI) exceeds 10%. If that threshold is exceeded, it is up to the parties to negotiate the compensation up to the cap. This can mean that the negotiating ability of the claimant can affect the payment outcome, which is a further example of how the current scheme generates uncertainty. </w:t>
      </w:r>
    </w:p>
    <w:p w:rsidR="00B40936" w:rsidRDefault="00B40936" w:rsidP="00B40936">
      <w:r>
        <w:t>Consideration could be given to a lower overall cap or a graduated system linked to overall impairment, as is the case in other schemes, to provide greater certainty and fewer disputes, though the trade-off would be less flexibility to cater for individual circumstances.</w:t>
      </w:r>
    </w:p>
    <w:p w:rsidR="00B40936" w:rsidRDefault="00B40936" w:rsidP="00B40936">
      <w:pPr>
        <w:pStyle w:val="Heading3"/>
      </w:pPr>
      <w:r>
        <w:t>Adjustments to payments for economic loss</w:t>
      </w:r>
    </w:p>
    <w:p w:rsidR="00B40936" w:rsidRDefault="00B40936" w:rsidP="00B40936">
      <w:r>
        <w:t xml:space="preserve">The current CTP scheme reimburses injured people for loss of income caused by the injury. Compensation amounts are based on actual past loss of earnings and an estimate of future loss of earnings, but capped at $4,688 (after tax) per week, which is indexed annually. This is much higher than in other states for their common law claims. The NSW cap is more than five times the Average Weekly Earnings (AWE) compared to other States that cap common law economic loss payments at three times AWE. Tighter caps could be offset by new provisions that would aim to allow economic loss payments to be made progressively, rather than at final settlement. </w:t>
      </w:r>
    </w:p>
    <w:p w:rsidR="00B40936" w:rsidRDefault="00B40936" w:rsidP="00B40936">
      <w:pPr>
        <w:pStyle w:val="Heading3"/>
      </w:pPr>
      <w:r>
        <w:t>Adjustments to payment for care</w:t>
      </w:r>
    </w:p>
    <w:p w:rsidR="00B40936" w:rsidRDefault="00B40936" w:rsidP="00B40936">
      <w:r>
        <w:t>Currently, injured people can claim for the cost of care (i.e. attendant care and personal care), including care that may have been provided free of charge by family and friends, if such care exceeds a statutory threshold. An injured person must be able to show that the assistance is needed for at least six hours per week and for at least six consecutive months of the year. The injured person must also show that the same kind of service was not needed prior to the injury.</w:t>
      </w:r>
    </w:p>
    <w:p w:rsidR="00B40936" w:rsidRDefault="00B40936" w:rsidP="00B40936">
      <w:r>
        <w:t xml:space="preserve">The cost of care has increased at very high rates since 2000 relative to other payment types. According to the scheme actuary, care costs per policy have increased steadily over the past 10 years, rising from $18 per policy in 2004 to $42 per policy in 2014. The rise in care costs has been most notable in claims from injured people who have minor injuries and are legally represented. </w:t>
      </w:r>
    </w:p>
    <w:p w:rsidR="00B40936" w:rsidRDefault="00B40936" w:rsidP="00B40936">
      <w:r>
        <w:t>Limits on the type of care could be considered including consideration of the removal of access to funding for gratuitous care, as is the case in other jurisdictions.</w:t>
      </w:r>
    </w:p>
    <w:p w:rsidR="00B40936" w:rsidRDefault="00B40936" w:rsidP="00B40936">
      <w:pPr>
        <w:pStyle w:val="Heading3"/>
      </w:pPr>
      <w:r>
        <w:t>Adjustments to legal fees</w:t>
      </w:r>
    </w:p>
    <w:p w:rsidR="00B40936" w:rsidRDefault="00B40936" w:rsidP="00B40936">
      <w:r>
        <w:t>The complex process of negotiating claims and managing disputes in the current CTP scheme has led to increasing levels of legal representation and further cost. Today, 83% of claims have legal representation compared to 71% in 2008, and legal costs now exceed medical costs in the scheme.</w:t>
      </w:r>
    </w:p>
    <w:p w:rsidR="00D403A8" w:rsidRDefault="00D403A8" w:rsidP="00887629">
      <w:pPr>
        <w:adjustRightInd/>
        <w:snapToGrid/>
        <w:spacing w:after="0" w:line="240" w:lineRule="auto"/>
      </w:pPr>
      <w:r>
        <w:br w:type="page"/>
      </w:r>
    </w:p>
    <w:p w:rsidR="00A3303A" w:rsidRDefault="00A3303A" w:rsidP="00744FA1">
      <w:pPr>
        <w:pStyle w:val="SectionHeadingNonToC"/>
        <w:framePr w:wrap="around"/>
      </w:pPr>
      <w:r w:rsidRPr="00A3303A">
        <w:lastRenderedPageBreak/>
        <w:t>Potential reform options</w:t>
      </w:r>
    </w:p>
    <w:p w:rsidR="00A3303A" w:rsidRDefault="00A3303A" w:rsidP="00A3303A">
      <w:r>
        <w:t xml:space="preserve">On 1 April 2015, the Government introduced regulatory changes which now require lawyers to disclose to SIRA details about their fees and the final settlement received by the claimant after all expenses have been paid. When these fees are taken into account, which do vary from claim to claim, the amount received in the hand by claimants is on average about 45 cents in the dollar of the CTP premium. </w:t>
      </w:r>
    </w:p>
    <w:p w:rsidR="00407AC7" w:rsidRDefault="00A3303A" w:rsidP="00407AC7">
      <w:r>
        <w:t>Consideration could be given to minimum thresholds before legal expenses may be made, and to link the value of payments to legal advisors based on the work performed, rather than the dollar value of the claim.</w:t>
      </w:r>
      <w:r w:rsidR="00407AC7">
        <w:t xml:space="preserve"> </w:t>
      </w:r>
    </w:p>
    <w:p w:rsidR="00407AC7" w:rsidRDefault="00407AC7" w:rsidP="00407AC7">
      <w:pPr>
        <w:pStyle w:val="Heading3"/>
      </w:pPr>
      <w:r>
        <w:br w:type="column"/>
        <w:t>Medical excess</w:t>
      </w:r>
    </w:p>
    <w:p w:rsidR="00407AC7" w:rsidRDefault="00407AC7" w:rsidP="00407AC7">
      <w:r>
        <w:t>Under the current CTP scheme, an insurer who has admitted liability for a claim is required to reimburse an injured person for their reasonable and necessary medical, treatment and rehabilitation expenses. The maximum amount that an insurer is required to reimburse an injured person for the cost of medical services is the amount listed in the Australian Medical Association’s List of Medical Services (AMA List). The list sets out the fees which the AMA considers are “fair and reasonable and appropriate for medical practitioners to charge in relation to a range of services”.</w:t>
      </w:r>
    </w:p>
    <w:p w:rsidR="00A3303A" w:rsidRDefault="00407AC7" w:rsidP="00407AC7">
      <w:r>
        <w:t>An option is to consider an excess of medical payments similar to general home insurance i.e. an injured person would be required to pay a standard excess amount before being eligible to claim these benefits under the scheme</w:t>
      </w:r>
    </w:p>
    <w:p w:rsidR="00407AC7" w:rsidRDefault="00407AC7" w:rsidP="00407AC7"/>
    <w:p w:rsidR="00407AC7" w:rsidRDefault="00407AC7" w:rsidP="00A3303A">
      <w:pPr>
        <w:sectPr w:rsidR="00407AC7" w:rsidSect="007C0F1C">
          <w:type w:val="continuous"/>
          <w:pgSz w:w="11906" w:h="16838" w:code="9"/>
          <w:pgMar w:top="765" w:right="851" w:bottom="1134" w:left="851" w:header="510" w:footer="397" w:gutter="0"/>
          <w:cols w:num="2" w:space="397"/>
          <w:docGrid w:linePitch="360"/>
        </w:sectPr>
      </w:pPr>
    </w:p>
    <w:p w:rsidR="00407AC7" w:rsidRDefault="00407AC7" w:rsidP="004F70AB">
      <w:pPr>
        <w:pStyle w:val="Heading1NonToC"/>
      </w:pPr>
      <w:r w:rsidRPr="007F0EEA">
        <w:lastRenderedPageBreak/>
        <w:t>How does this option address the objectives?</w:t>
      </w:r>
    </w:p>
    <w:tbl>
      <w:tblPr>
        <w:tblStyle w:val="TransurbanTable"/>
        <w:tblpPr w:leftFromText="181" w:rightFromText="181" w:bottomFromText="113" w:vertAnchor="text" w:horzAnchor="page" w:tblpX="852" w:tblpY="58"/>
        <w:tblOverlap w:val="never"/>
        <w:tblW w:w="10206" w:type="dxa"/>
        <w:tblLook w:val="01C0" w:firstRow="0" w:lastRow="1" w:firstColumn="1" w:lastColumn="1" w:noHBand="0" w:noVBand="0"/>
        <w:tblCaption w:val="How does this option address the objectives?"/>
      </w:tblPr>
      <w:tblGrid>
        <w:gridCol w:w="2268"/>
        <w:gridCol w:w="7938"/>
      </w:tblGrid>
      <w:tr w:rsidR="00407AC7" w:rsidRPr="003A4EBF" w:rsidTr="003970BC">
        <w:trPr>
          <w:tblHeader/>
        </w:trPr>
        <w:tc>
          <w:tcPr>
            <w:cnfStyle w:val="001000000000" w:firstRow="0" w:lastRow="0" w:firstColumn="1" w:lastColumn="0" w:oddVBand="0" w:evenVBand="0" w:oddHBand="0" w:evenHBand="0" w:firstRowFirstColumn="0" w:firstRowLastColumn="0" w:lastRowFirstColumn="0" w:lastRowLastColumn="0"/>
            <w:tcW w:w="1111" w:type="pct"/>
          </w:tcPr>
          <w:p w:rsidR="00407AC7" w:rsidRPr="005D2A65" w:rsidRDefault="00407AC7" w:rsidP="003970BC">
            <w:pPr>
              <w:pStyle w:val="TableHeading"/>
            </w:pPr>
            <w:r w:rsidRPr="005D2A65">
              <w:t>Proportion of benefits (efficiency)</w:t>
            </w:r>
          </w:p>
        </w:tc>
        <w:tc>
          <w:tcPr>
            <w:tcW w:w="3889" w:type="pct"/>
          </w:tcPr>
          <w:p w:rsidR="00407AC7" w:rsidRPr="000B5821" w:rsidRDefault="00407AC7" w:rsidP="003970BC">
            <w:pPr>
              <w:pStyle w:val="TableText"/>
              <w:cnfStyle w:val="000000000000" w:firstRow="0" w:lastRow="0" w:firstColumn="0" w:lastColumn="0" w:oddVBand="0" w:evenVBand="0" w:oddHBand="0" w:evenHBand="0" w:firstRowFirstColumn="0" w:firstRowLastColumn="0" w:lastRowFirstColumn="0" w:lastRowLastColumn="0"/>
            </w:pPr>
            <w:r w:rsidRPr="000B5821">
              <w:t>This option would slightly improve efficiency, depending on the limits imposed by any thresholds and caps.</w:t>
            </w:r>
          </w:p>
        </w:tc>
      </w:tr>
      <w:tr w:rsidR="00407AC7" w:rsidRPr="003A4EBF" w:rsidTr="003970BC">
        <w:tc>
          <w:tcPr>
            <w:cnfStyle w:val="001000000000" w:firstRow="0" w:lastRow="0" w:firstColumn="1" w:lastColumn="0" w:oddVBand="0" w:evenVBand="0" w:oddHBand="0" w:evenHBand="0" w:firstRowFirstColumn="0" w:firstRowLastColumn="0" w:lastRowFirstColumn="0" w:lastRowLastColumn="0"/>
            <w:tcW w:w="1111" w:type="pct"/>
          </w:tcPr>
          <w:p w:rsidR="00407AC7" w:rsidRPr="005D2A65" w:rsidRDefault="00407AC7" w:rsidP="003970BC">
            <w:pPr>
              <w:pStyle w:val="TableHeading"/>
            </w:pPr>
            <w:r w:rsidRPr="005D2A65">
              <w:t>Timeliness</w:t>
            </w:r>
          </w:p>
        </w:tc>
        <w:tc>
          <w:tcPr>
            <w:tcW w:w="3889" w:type="pct"/>
          </w:tcPr>
          <w:p w:rsidR="00407AC7" w:rsidRPr="000B5821" w:rsidRDefault="00407AC7" w:rsidP="003970BC">
            <w:pPr>
              <w:pStyle w:val="TableText"/>
              <w:cnfStyle w:val="000000000000" w:firstRow="0" w:lastRow="0" w:firstColumn="0" w:lastColumn="0" w:oddVBand="0" w:evenVBand="0" w:oddHBand="0" w:evenHBand="0" w:firstRowFirstColumn="0" w:firstRowLastColumn="0" w:lastRowFirstColumn="0" w:lastRowLastColumn="0"/>
            </w:pPr>
            <w:r w:rsidRPr="000B5821">
              <w:t>Changes to claims and dispute resolution processes may slightly improve timeliness for some claims but many will see no impact.</w:t>
            </w:r>
          </w:p>
        </w:tc>
      </w:tr>
      <w:tr w:rsidR="00407AC7" w:rsidRPr="003A4EBF" w:rsidTr="003970BC">
        <w:tc>
          <w:tcPr>
            <w:cnfStyle w:val="001000000000" w:firstRow="0" w:lastRow="0" w:firstColumn="1" w:lastColumn="0" w:oddVBand="0" w:evenVBand="0" w:oddHBand="0" w:evenHBand="0" w:firstRowFirstColumn="0" w:firstRowLastColumn="0" w:lastRowFirstColumn="0" w:lastRowLastColumn="0"/>
            <w:tcW w:w="1111" w:type="pct"/>
          </w:tcPr>
          <w:p w:rsidR="00407AC7" w:rsidRPr="005D2A65" w:rsidRDefault="00407AC7" w:rsidP="003970BC">
            <w:pPr>
              <w:pStyle w:val="TableHeading"/>
            </w:pPr>
            <w:r w:rsidRPr="005D2A65">
              <w:t>Fraud and exaggeration</w:t>
            </w:r>
          </w:p>
        </w:tc>
        <w:tc>
          <w:tcPr>
            <w:tcW w:w="3889" w:type="pct"/>
          </w:tcPr>
          <w:p w:rsidR="00407AC7" w:rsidRPr="000B5821" w:rsidRDefault="00407AC7" w:rsidP="003970BC">
            <w:pPr>
              <w:pStyle w:val="TableText"/>
              <w:cnfStyle w:val="000000000000" w:firstRow="0" w:lastRow="0" w:firstColumn="0" w:lastColumn="0" w:oddVBand="0" w:evenVBand="0" w:oddHBand="0" w:evenHBand="0" w:firstRowFirstColumn="0" w:firstRowLastColumn="0" w:lastRowFirstColumn="0" w:lastRowLastColumn="0"/>
            </w:pPr>
            <w:r w:rsidRPr="000B5821">
              <w:t>There would be tighter provisions dealing with fraud and exaggerated claims.</w:t>
            </w:r>
          </w:p>
        </w:tc>
      </w:tr>
      <w:tr w:rsidR="00407AC7" w:rsidRPr="003A4EBF" w:rsidTr="003970BC">
        <w:tc>
          <w:tcPr>
            <w:cnfStyle w:val="001000000000" w:firstRow="0" w:lastRow="0" w:firstColumn="1" w:lastColumn="0" w:oddVBand="0" w:evenVBand="0" w:oddHBand="0" w:evenHBand="0" w:firstRowFirstColumn="0" w:firstRowLastColumn="0" w:lastRowFirstColumn="0" w:lastRowLastColumn="0"/>
            <w:tcW w:w="1111" w:type="pct"/>
          </w:tcPr>
          <w:p w:rsidR="00407AC7" w:rsidRDefault="00407AC7" w:rsidP="003970BC">
            <w:pPr>
              <w:pStyle w:val="TableHeading"/>
            </w:pPr>
            <w:r w:rsidRPr="005D2A65">
              <w:t>Affordability</w:t>
            </w:r>
          </w:p>
        </w:tc>
        <w:tc>
          <w:tcPr>
            <w:tcW w:w="3889" w:type="pct"/>
          </w:tcPr>
          <w:p w:rsidR="00407AC7" w:rsidRDefault="00407AC7" w:rsidP="003970BC">
            <w:pPr>
              <w:pStyle w:val="TableText"/>
              <w:cnfStyle w:val="000000000000" w:firstRow="0" w:lastRow="0" w:firstColumn="0" w:lastColumn="0" w:oddVBand="0" w:evenVBand="0" w:oddHBand="0" w:evenHBand="0" w:firstRowFirstColumn="0" w:firstRowLastColumn="0" w:lastRowFirstColumn="0" w:lastRowLastColumn="0"/>
            </w:pPr>
            <w:r w:rsidRPr="000B5821">
              <w:t>There would be a slight improvement to affordability as benefits are amended, some claims are resolved more quickly and tighter caps on legal costs are introduced. The level of improvement would be dependent on the level of the thresholds and caps.</w:t>
            </w:r>
          </w:p>
        </w:tc>
      </w:tr>
    </w:tbl>
    <w:p w:rsidR="00407AC7" w:rsidRDefault="00407AC7" w:rsidP="00A3303A"/>
    <w:p w:rsidR="00407AC7" w:rsidRDefault="00407AC7" w:rsidP="00A3303A">
      <w:pPr>
        <w:sectPr w:rsidR="00407AC7" w:rsidSect="00407AC7">
          <w:type w:val="continuous"/>
          <w:pgSz w:w="11906" w:h="16838" w:code="9"/>
          <w:pgMar w:top="765" w:right="851" w:bottom="1134" w:left="851" w:header="510" w:footer="397" w:gutter="0"/>
          <w:cols w:space="397"/>
          <w:docGrid w:linePitch="360"/>
        </w:sectPr>
      </w:pPr>
    </w:p>
    <w:p w:rsidR="00407AC7" w:rsidRDefault="00407AC7" w:rsidP="00407AC7">
      <w:pPr>
        <w:pStyle w:val="Heading1"/>
      </w:pPr>
      <w:bookmarkStart w:id="23" w:name="_Toc448404741"/>
      <w:r>
        <w:lastRenderedPageBreak/>
        <w:t>Option 3 – Move to a hybrid no-fault, defined benefits scheme with common law benefits retained in parallel</w:t>
      </w:r>
      <w:bookmarkEnd w:id="23"/>
    </w:p>
    <w:p w:rsidR="00407AC7" w:rsidRDefault="00407AC7" w:rsidP="00407AC7">
      <w:r>
        <w:t xml:space="preserve">This option involves the introduction of defined statutory benefits for anyone injured in a motor vehicle accident, irrespective of fault, with the retention of common law benefits for the most seriously injured, as defined by injury type or a threshold. The nature, amount and duration of the defined benefits would be set by law, as opposed to the common law benefits which are negotiated between the claimant and insurer, within overall caps set by legislation. </w:t>
      </w:r>
    </w:p>
    <w:p w:rsidR="00407AC7" w:rsidRDefault="00407AC7" w:rsidP="00407AC7">
      <w:r>
        <w:br w:type="column"/>
      </w:r>
      <w:r>
        <w:lastRenderedPageBreak/>
        <w:t>It should be noted that different jurisdictions use different hybrid approaches, including percentage of worst case, points scale, percentage of Whole Person Impairment (WPI) or narrative test to determine eligibility for common law or access to payments for pain and suffering. A particular decision would be whether access to common law is an alternative to defined benefits or an add-on to defined benefits.</w:t>
      </w:r>
    </w:p>
    <w:p w:rsidR="00407AC7" w:rsidRDefault="00407AC7" w:rsidP="00407AC7">
      <w:r>
        <w:t>For those more seriously injured who were not at fault, the underlying scheme design would be unchanged – that is, common law rights would be retained, allowing future losses to be calculated according to common law principles and settled in a lump sum.</w:t>
      </w:r>
    </w:p>
    <w:p w:rsidR="007215F8" w:rsidRDefault="00407AC7" w:rsidP="00DA4DAB">
      <w:pPr>
        <w:adjustRightInd/>
        <w:snapToGrid/>
        <w:spacing w:after="0" w:line="240" w:lineRule="auto"/>
      </w:pPr>
      <w:r>
        <w:br w:type="page"/>
      </w:r>
    </w:p>
    <w:p w:rsidR="0034512E" w:rsidRDefault="007215F8" w:rsidP="00744FA1">
      <w:pPr>
        <w:pStyle w:val="SectionHeadingNonToC"/>
        <w:framePr w:wrap="around"/>
      </w:pPr>
      <w:r w:rsidRPr="007215F8">
        <w:lastRenderedPageBreak/>
        <w:t>Potential reform options</w:t>
      </w:r>
    </w:p>
    <w:p w:rsidR="007215F8" w:rsidRDefault="007215F8" w:rsidP="007215F8">
      <w:r>
        <w:t>The quantum of compensation between defined benefits and lump sum schemes cannot easily be compared. Under a defined benefits scheme, compensation is more closely linked to the medical and rehabilitation needs of the injured road user. Some minor injury claimants may receive a lower overall quantum of compensation than in a lump sum scheme, but are likely to gain access to payments much sooner.</w:t>
      </w:r>
    </w:p>
    <w:p w:rsidR="007215F8" w:rsidRDefault="007215F8" w:rsidP="007215F8">
      <w:r>
        <w:t xml:space="preserve">Depending on the nature of any design, this option would refocus the efforts of lawyers from minor injury claims where compensation entitlements are more straightforward, to the more serious injuries where needs are more complex and uncertain. It would improve certainty on payments for CTP insurers, thereby reducing the uncertainty factor that is currently built into CTP prices. </w:t>
      </w:r>
    </w:p>
    <w:p w:rsidR="007215F8" w:rsidRDefault="007215F8" w:rsidP="007215F8">
      <w:r>
        <w:t>There are a range of blended or hybrid schemes in other jurisdictions that take on some features of fault and no-fault. These schemes allow the injured person to receive both no-fault and fault benefits. In Victoria, for example, all people injured in motor vehicle accidents receive no-fault benefits however those seriously injured through another driver’s fault may receive a lump sum payment and make a common law claim.</w:t>
      </w:r>
    </w:p>
    <w:p w:rsidR="007215F8" w:rsidRDefault="006D016D" w:rsidP="007215F8">
      <w:r>
        <w:br w:type="column"/>
      </w:r>
      <w:r w:rsidR="007215F8">
        <w:t>Some possible variations within this option could include:</w:t>
      </w:r>
    </w:p>
    <w:p w:rsidR="007215F8" w:rsidRDefault="007215F8" w:rsidP="007215F8">
      <w:pPr>
        <w:pStyle w:val="ListBullet"/>
      </w:pPr>
      <w:r>
        <w:t>payment of medical, treatment and rehabilitation costs to anyone irrespective of fault, but continue to maintain fault as a relevant consideration for other benefits such as lost income or pain and suffering</w:t>
      </w:r>
    </w:p>
    <w:p w:rsidR="007215F8" w:rsidRDefault="007215F8" w:rsidP="007215F8">
      <w:pPr>
        <w:pStyle w:val="ListBullet"/>
      </w:pPr>
      <w:r>
        <w:t>increase the threshold of the current no-fault Accident Notification Form to a higher level (possibly with defined benefits and/or maximum time thresholds), but retain common law for all claims above that level</w:t>
      </w:r>
    </w:p>
    <w:p w:rsidR="007215F8" w:rsidRDefault="007215F8" w:rsidP="007215F8">
      <w:pPr>
        <w:pStyle w:val="ListBullet"/>
      </w:pPr>
      <w:r>
        <w:t>introduce benefits on a no-fault basis for anyone catastrophically injured that are not already covered by the Lifetime Care and Support Scheme (i.e. economic and non-economic loss) but retain common law for less severe injuries.</w:t>
      </w:r>
    </w:p>
    <w:p w:rsidR="007215F8" w:rsidRDefault="007215F8" w:rsidP="007215F8">
      <w:r>
        <w:t>The aim of this option would be to ensure that injured people receive immediate and ongoing benefits in accordance with need. The majority of claims that involve relatively minor injuries would be settled without the need to negotiate a settlement amount or with a more straightforward mechanism.</w:t>
      </w:r>
    </w:p>
    <w:p w:rsidR="006D016D" w:rsidRDefault="006D016D" w:rsidP="007215F8"/>
    <w:p w:rsidR="006D016D" w:rsidRDefault="006D016D" w:rsidP="007215F8"/>
    <w:p w:rsidR="006D016D" w:rsidRDefault="006D016D" w:rsidP="007215F8"/>
    <w:tbl>
      <w:tblPr>
        <w:tblStyle w:val="TransurbanTable"/>
        <w:tblpPr w:leftFromText="181" w:rightFromText="181" w:bottomFromText="113" w:vertAnchor="text" w:horzAnchor="page" w:tblpX="852" w:tblpY="58"/>
        <w:tblOverlap w:val="never"/>
        <w:tblW w:w="10206" w:type="dxa"/>
        <w:tblLook w:val="01C0" w:firstRow="0" w:lastRow="1" w:firstColumn="1" w:lastColumn="1" w:noHBand="0" w:noVBand="0"/>
        <w:tblCaption w:val="How does this option address the objectives?"/>
      </w:tblPr>
      <w:tblGrid>
        <w:gridCol w:w="2411"/>
        <w:gridCol w:w="7795"/>
      </w:tblGrid>
      <w:tr w:rsidR="006D016D" w:rsidRPr="003A4EBF" w:rsidTr="003970BC">
        <w:trPr>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bottom w:val="single" w:sz="18" w:space="0" w:color="FFFFFF" w:themeColor="background1"/>
            </w:tcBorders>
            <w:shd w:val="clear" w:color="auto" w:fill="auto"/>
          </w:tcPr>
          <w:p w:rsidR="006D016D" w:rsidRPr="00CE5710" w:rsidRDefault="006D016D" w:rsidP="004F70AB">
            <w:pPr>
              <w:pStyle w:val="Heading1NonToC"/>
            </w:pPr>
            <w:r w:rsidRPr="007F0EEA">
              <w:t>How does this option address the objectives?</w:t>
            </w:r>
          </w:p>
        </w:tc>
      </w:tr>
      <w:tr w:rsidR="006D016D" w:rsidRPr="003A4EBF" w:rsidTr="003970BC">
        <w:trPr>
          <w:tblHeader/>
        </w:trPr>
        <w:tc>
          <w:tcPr>
            <w:cnfStyle w:val="001000000000" w:firstRow="0" w:lastRow="0" w:firstColumn="1" w:lastColumn="0" w:oddVBand="0" w:evenVBand="0" w:oddHBand="0" w:evenHBand="0" w:firstRowFirstColumn="0" w:firstRowLastColumn="0" w:lastRowFirstColumn="0" w:lastRowLastColumn="0"/>
            <w:tcW w:w="1181" w:type="pct"/>
            <w:tcBorders>
              <w:top w:val="single" w:sz="18" w:space="0" w:color="FFFFFF" w:themeColor="background1"/>
            </w:tcBorders>
          </w:tcPr>
          <w:p w:rsidR="006D016D" w:rsidRPr="00AB16E4" w:rsidRDefault="006D016D" w:rsidP="003970BC">
            <w:pPr>
              <w:pStyle w:val="TableHeading"/>
            </w:pPr>
            <w:r w:rsidRPr="00AB16E4">
              <w:t>Proportion of benefits (efficiency)</w:t>
            </w:r>
          </w:p>
        </w:tc>
        <w:tc>
          <w:tcPr>
            <w:tcW w:w="3819" w:type="pct"/>
            <w:tcBorders>
              <w:top w:val="single" w:sz="18" w:space="0" w:color="FFFFFF" w:themeColor="background1"/>
            </w:tcBorders>
          </w:tcPr>
          <w:p w:rsidR="006D016D" w:rsidRPr="00CE5710" w:rsidRDefault="006D016D" w:rsidP="003970BC">
            <w:pPr>
              <w:pStyle w:val="TableText"/>
              <w:cnfStyle w:val="000000000000" w:firstRow="0" w:lastRow="0" w:firstColumn="0" w:lastColumn="0" w:oddVBand="0" w:evenVBand="0" w:oddHBand="0" w:evenHBand="0" w:firstRowFirstColumn="0" w:firstRowLastColumn="0" w:lastRowFirstColumn="0" w:lastRowLastColumn="0"/>
            </w:pPr>
            <w:r w:rsidRPr="00CE5710">
              <w:t>This option has potential significant efficiency improvements. The level of improvement would be determined by the thresholds and caps adopted.</w:t>
            </w:r>
          </w:p>
        </w:tc>
      </w:tr>
      <w:tr w:rsidR="006D016D" w:rsidRPr="003A4EBF" w:rsidTr="003970BC">
        <w:tc>
          <w:tcPr>
            <w:cnfStyle w:val="001000000000" w:firstRow="0" w:lastRow="0" w:firstColumn="1" w:lastColumn="0" w:oddVBand="0" w:evenVBand="0" w:oddHBand="0" w:evenHBand="0" w:firstRowFirstColumn="0" w:firstRowLastColumn="0" w:lastRowFirstColumn="0" w:lastRowLastColumn="0"/>
            <w:tcW w:w="1181" w:type="pct"/>
          </w:tcPr>
          <w:p w:rsidR="006D016D" w:rsidRPr="00AB16E4" w:rsidRDefault="006D016D" w:rsidP="003970BC">
            <w:pPr>
              <w:pStyle w:val="TableHeading"/>
            </w:pPr>
            <w:r w:rsidRPr="00AB16E4">
              <w:t>Timeliness</w:t>
            </w:r>
          </w:p>
        </w:tc>
        <w:tc>
          <w:tcPr>
            <w:tcW w:w="3819" w:type="pct"/>
          </w:tcPr>
          <w:p w:rsidR="006D016D" w:rsidRPr="00CE5710" w:rsidRDefault="006D016D" w:rsidP="003970BC">
            <w:pPr>
              <w:pStyle w:val="TableText"/>
              <w:cnfStyle w:val="000000000000" w:firstRow="0" w:lastRow="0" w:firstColumn="0" w:lastColumn="0" w:oddVBand="0" w:evenVBand="0" w:oddHBand="0" w:evenHBand="0" w:firstRowFirstColumn="0" w:firstRowLastColumn="0" w:lastRowFirstColumn="0" w:lastRowLastColumn="0"/>
            </w:pPr>
            <w:r w:rsidRPr="00CE5710">
              <w:t>The introduction of defined benefits with changes to claims and dispute resolution processes would significantly improve timeliness. There would remain some delays for people eligible for common law.</w:t>
            </w:r>
          </w:p>
        </w:tc>
      </w:tr>
      <w:tr w:rsidR="006D016D" w:rsidRPr="003A4EBF" w:rsidTr="003970BC">
        <w:tc>
          <w:tcPr>
            <w:cnfStyle w:val="001000000000" w:firstRow="0" w:lastRow="0" w:firstColumn="1" w:lastColumn="0" w:oddVBand="0" w:evenVBand="0" w:oddHBand="0" w:evenHBand="0" w:firstRowFirstColumn="0" w:firstRowLastColumn="0" w:lastRowFirstColumn="0" w:lastRowLastColumn="0"/>
            <w:tcW w:w="1181" w:type="pct"/>
          </w:tcPr>
          <w:p w:rsidR="006D016D" w:rsidRPr="00AB16E4" w:rsidRDefault="006D016D" w:rsidP="003970BC">
            <w:pPr>
              <w:pStyle w:val="TableHeading"/>
            </w:pPr>
            <w:r w:rsidRPr="00AB16E4">
              <w:t>Fraud and exaggeration</w:t>
            </w:r>
          </w:p>
        </w:tc>
        <w:tc>
          <w:tcPr>
            <w:tcW w:w="3819" w:type="pct"/>
          </w:tcPr>
          <w:p w:rsidR="006D016D" w:rsidRPr="00CE5710" w:rsidRDefault="006D016D" w:rsidP="003970BC">
            <w:pPr>
              <w:pStyle w:val="TableText"/>
              <w:cnfStyle w:val="000000000000" w:firstRow="0" w:lastRow="0" w:firstColumn="0" w:lastColumn="0" w:oddVBand="0" w:evenVBand="0" w:oddHBand="0" w:evenHBand="0" w:firstRowFirstColumn="0" w:firstRowLastColumn="0" w:lastRowFirstColumn="0" w:lastRowLastColumn="0"/>
            </w:pPr>
            <w:r w:rsidRPr="00CE5710">
              <w:t>Defined benefits would largely reduce the incentive and opportunity for fraudulent behaviours and significantly improve the integrity of the scheme, especially by removing incentives for low severity claims. Measures to address fraud would still be required.</w:t>
            </w:r>
          </w:p>
        </w:tc>
      </w:tr>
      <w:tr w:rsidR="006D016D" w:rsidRPr="003A4EBF" w:rsidTr="003970BC">
        <w:tc>
          <w:tcPr>
            <w:cnfStyle w:val="001000000000" w:firstRow="0" w:lastRow="0" w:firstColumn="1" w:lastColumn="0" w:oddVBand="0" w:evenVBand="0" w:oddHBand="0" w:evenHBand="0" w:firstRowFirstColumn="0" w:firstRowLastColumn="0" w:lastRowFirstColumn="0" w:lastRowLastColumn="0"/>
            <w:tcW w:w="1181" w:type="pct"/>
          </w:tcPr>
          <w:p w:rsidR="006D016D" w:rsidRPr="00AB16E4" w:rsidRDefault="006D016D" w:rsidP="003970BC">
            <w:pPr>
              <w:pStyle w:val="TableHeading"/>
            </w:pPr>
            <w:r w:rsidRPr="00AB16E4">
              <w:t>Affordability</w:t>
            </w:r>
          </w:p>
        </w:tc>
        <w:tc>
          <w:tcPr>
            <w:tcW w:w="3819" w:type="pct"/>
          </w:tcPr>
          <w:p w:rsidR="006D016D" w:rsidRPr="00CE5710" w:rsidRDefault="006D016D" w:rsidP="003970BC">
            <w:pPr>
              <w:pStyle w:val="TableText"/>
              <w:cnfStyle w:val="000000000000" w:firstRow="0" w:lastRow="0" w:firstColumn="0" w:lastColumn="0" w:oddVBand="0" w:evenVBand="0" w:oddHBand="0" w:evenHBand="0" w:firstRowFirstColumn="0" w:firstRowLastColumn="0" w:lastRowFirstColumn="0" w:lastRowLastColumn="0"/>
            </w:pPr>
            <w:r w:rsidRPr="00CE5710">
              <w:t>The certainty for insurers of defined benefits and the reduction in time for payments to be made combined with changes to benefits and scheme costs would improve affordability. The level of improvement would be dependent on the level of the benefits, thresholds and caps.</w:t>
            </w:r>
          </w:p>
        </w:tc>
      </w:tr>
    </w:tbl>
    <w:p w:rsidR="006D016D" w:rsidRPr="007215F8" w:rsidRDefault="006D016D" w:rsidP="007215F8"/>
    <w:p w:rsidR="00A4001A" w:rsidRDefault="00A4001A">
      <w:pPr>
        <w:adjustRightInd/>
        <w:snapToGrid/>
        <w:spacing w:after="0" w:line="240" w:lineRule="auto"/>
      </w:pPr>
      <w:r>
        <w:br w:type="page"/>
      </w:r>
    </w:p>
    <w:p w:rsidR="0030289E" w:rsidRDefault="007215F8" w:rsidP="003A781A">
      <w:pPr>
        <w:pStyle w:val="SectionHeadingNonToC"/>
        <w:framePr w:wrap="around"/>
      </w:pPr>
      <w:r w:rsidRPr="007215F8">
        <w:lastRenderedPageBreak/>
        <w:t>Potential reform options</w:t>
      </w:r>
    </w:p>
    <w:p w:rsidR="00C51DEF" w:rsidRDefault="00C51DEF" w:rsidP="00C51DEF">
      <w:pPr>
        <w:pStyle w:val="Heading1"/>
      </w:pPr>
      <w:bookmarkStart w:id="24" w:name="_Toc448404742"/>
      <w:r>
        <w:t>Option 4 – Move to a fully no-fault, defined benefits scheme with caps, thresholds and no common law</w:t>
      </w:r>
      <w:bookmarkEnd w:id="24"/>
    </w:p>
    <w:p w:rsidR="00C51DEF" w:rsidRDefault="00C51DEF" w:rsidP="00C51DEF">
      <w:r>
        <w:t xml:space="preserve">This option would remove the assessment of fault in all cases and provide defined statutory payments instead of lump sum payments. </w:t>
      </w:r>
    </w:p>
    <w:p w:rsidR="00C51DEF" w:rsidRDefault="00C51DEF" w:rsidP="00C51DEF">
      <w:r>
        <w:t xml:space="preserve">Option 4 would eliminate disputation over fault. Like option 3, it would aim to improve certainty and timeliness of payments to injured people, and increase certainty for insurers in their pricing. However, like option 3, it could also reduce compensation for more minor injuries (and associated legal fees). Unlike option 3, there would be no negotiated lump sum. </w:t>
      </w:r>
    </w:p>
    <w:p w:rsidR="00C51DEF" w:rsidRDefault="00C51DEF" w:rsidP="00C51DEF">
      <w:r>
        <w:t>Although no-fault schemes mean that a greater number of people are eligible to access benefits, they are not necessarily more expensive than fault-based schemes. To the contrary, the extension of benefits is usually offset by a reduction in technical legal disputes over fault, liability and contributory negligence. Costs are also contained by the caps placed on the defined benefits.</w:t>
      </w:r>
    </w:p>
    <w:p w:rsidR="00C51DEF" w:rsidRDefault="00C51DEF" w:rsidP="00C51DEF">
      <w:r>
        <w:t>Premiums in no-fault systems are usually more stable because costs are more predictable and insurers do not need to make allowance for superimposed inflation. In a defined benefits</w:t>
      </w:r>
      <w:r w:rsidR="00EF4178">
        <w:t xml:space="preserve"> system, there is greater certainty</w:t>
      </w:r>
      <w:r w:rsidR="00540854">
        <w:br w:type="column"/>
      </w:r>
      <w:r>
        <w:t xml:space="preserve">and accordingly less need for insurers to include buffers in premiums in order to account for uncertainty in future claims liabilities and disputation costs. Insurers are better able to predict their likely future costs, resulting in more accurate pricing and less volatility of profits. </w:t>
      </w:r>
    </w:p>
    <w:p w:rsidR="00C51DEF" w:rsidRDefault="00C51DEF" w:rsidP="00C51DEF">
      <w:r>
        <w:t>There are also fewer disputes under a statutorily defined benefits scheme, due to increased certainty about the benefits that are payable. A disadvantage of statutorily defined benefits, however, is that since benefits are pre-determined, the system is less flexible and lacks the ability to take all the circumstances of an individual case into account. Statutory defined benefits schemes make assumptions as to loss of income but may fail to take into account the unique impacts on an individual’s income that may be associated with different injury types.</w:t>
      </w:r>
    </w:p>
    <w:p w:rsidR="007215F8" w:rsidRDefault="00C51DEF" w:rsidP="00C51DEF">
      <w:r>
        <w:t>The development of a National Injury Insurance Scheme also shows that the national trend is towards no-fault type schemes. In 2011, the Productivity Commission concluded that no-fault schemes are superior to fault-based schemes: “Overall, no-fault systems are likely to produce generally superior outcomes compared with fault-based systems. This assessment is consistent with the findings and recommendations of past official inquiries and reports that have investigated the matter”.</w:t>
      </w:r>
    </w:p>
    <w:p w:rsidR="00540854" w:rsidRDefault="00540854" w:rsidP="00C51DEF"/>
    <w:p w:rsidR="00540854" w:rsidRDefault="00540854" w:rsidP="00C51DEF"/>
    <w:tbl>
      <w:tblPr>
        <w:tblStyle w:val="TransurbanTable"/>
        <w:tblpPr w:leftFromText="181" w:rightFromText="181" w:bottomFromText="113" w:vertAnchor="text" w:horzAnchor="page" w:tblpX="852" w:tblpY="58"/>
        <w:tblOverlap w:val="never"/>
        <w:tblW w:w="10206" w:type="dxa"/>
        <w:tblLook w:val="01C0" w:firstRow="0" w:lastRow="1" w:firstColumn="1" w:lastColumn="1" w:noHBand="0" w:noVBand="0"/>
        <w:tblCaption w:val="How does this option address the objectives?"/>
      </w:tblPr>
      <w:tblGrid>
        <w:gridCol w:w="2411"/>
        <w:gridCol w:w="7795"/>
      </w:tblGrid>
      <w:tr w:rsidR="00540854" w:rsidRPr="003A4EBF" w:rsidTr="003970BC">
        <w:trPr>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bottom w:val="single" w:sz="18" w:space="0" w:color="FFFFFF" w:themeColor="background1"/>
            </w:tcBorders>
            <w:shd w:val="clear" w:color="auto" w:fill="auto"/>
          </w:tcPr>
          <w:p w:rsidR="00540854" w:rsidRPr="00283724" w:rsidRDefault="00540854" w:rsidP="004F70AB">
            <w:pPr>
              <w:pStyle w:val="Heading1NonToC"/>
            </w:pPr>
            <w:r w:rsidRPr="007F0EEA">
              <w:t>How does this option address the objectives?</w:t>
            </w:r>
          </w:p>
        </w:tc>
      </w:tr>
      <w:tr w:rsidR="00540854" w:rsidRPr="003A4EBF" w:rsidTr="003970BC">
        <w:trPr>
          <w:tblHeader/>
        </w:trPr>
        <w:tc>
          <w:tcPr>
            <w:cnfStyle w:val="001000000000" w:firstRow="0" w:lastRow="0" w:firstColumn="1" w:lastColumn="0" w:oddVBand="0" w:evenVBand="0" w:oddHBand="0" w:evenHBand="0" w:firstRowFirstColumn="0" w:firstRowLastColumn="0" w:lastRowFirstColumn="0" w:lastRowLastColumn="0"/>
            <w:tcW w:w="1181" w:type="pct"/>
            <w:tcBorders>
              <w:top w:val="single" w:sz="18" w:space="0" w:color="FFFFFF" w:themeColor="background1"/>
            </w:tcBorders>
          </w:tcPr>
          <w:p w:rsidR="00540854" w:rsidRPr="00283724" w:rsidRDefault="00540854" w:rsidP="003970BC">
            <w:pPr>
              <w:pStyle w:val="TableHeading"/>
            </w:pPr>
            <w:r w:rsidRPr="00283724">
              <w:t>Proportion of benefits (efficiency)</w:t>
            </w:r>
          </w:p>
        </w:tc>
        <w:tc>
          <w:tcPr>
            <w:tcW w:w="3819" w:type="pct"/>
            <w:tcBorders>
              <w:top w:val="single" w:sz="18" w:space="0" w:color="FFFFFF" w:themeColor="background1"/>
            </w:tcBorders>
          </w:tcPr>
          <w:p w:rsidR="00540854" w:rsidRPr="00283724" w:rsidRDefault="00540854" w:rsidP="003970BC">
            <w:pPr>
              <w:pStyle w:val="TableText"/>
              <w:cnfStyle w:val="000000000000" w:firstRow="0" w:lastRow="0" w:firstColumn="0" w:lastColumn="0" w:oddVBand="0" w:evenVBand="0" w:oddHBand="0" w:evenHBand="0" w:firstRowFirstColumn="0" w:firstRowLastColumn="0" w:lastRowFirstColumn="0" w:lastRowLastColumn="0"/>
            </w:pPr>
            <w:r w:rsidRPr="00283724">
              <w:t>This option would result in a significant improvement in efficiency but may impact benefits for the most severely injured.</w:t>
            </w:r>
          </w:p>
        </w:tc>
      </w:tr>
      <w:tr w:rsidR="00540854" w:rsidRPr="003A4EBF" w:rsidTr="003970BC">
        <w:tc>
          <w:tcPr>
            <w:cnfStyle w:val="001000000000" w:firstRow="0" w:lastRow="0" w:firstColumn="1" w:lastColumn="0" w:oddVBand="0" w:evenVBand="0" w:oddHBand="0" w:evenHBand="0" w:firstRowFirstColumn="0" w:firstRowLastColumn="0" w:lastRowFirstColumn="0" w:lastRowLastColumn="0"/>
            <w:tcW w:w="1181" w:type="pct"/>
          </w:tcPr>
          <w:p w:rsidR="00540854" w:rsidRPr="00283724" w:rsidRDefault="00540854" w:rsidP="003970BC">
            <w:pPr>
              <w:pStyle w:val="TableHeading"/>
            </w:pPr>
            <w:r w:rsidRPr="00283724">
              <w:t>Timeliness</w:t>
            </w:r>
          </w:p>
        </w:tc>
        <w:tc>
          <w:tcPr>
            <w:tcW w:w="3819" w:type="pct"/>
          </w:tcPr>
          <w:p w:rsidR="00540854" w:rsidRPr="00283724" w:rsidRDefault="00540854" w:rsidP="003970BC">
            <w:pPr>
              <w:pStyle w:val="TableText"/>
              <w:cnfStyle w:val="000000000000" w:firstRow="0" w:lastRow="0" w:firstColumn="0" w:lastColumn="0" w:oddVBand="0" w:evenVBand="0" w:oddHBand="0" w:evenHBand="0" w:firstRowFirstColumn="0" w:firstRowLastColumn="0" w:lastRowFirstColumn="0" w:lastRowLastColumn="0"/>
            </w:pPr>
            <w:r w:rsidRPr="00283724">
              <w:t>The introduction of defined benefits with changes to claims and dispute resolution processes would significantly improve timeliness.</w:t>
            </w:r>
          </w:p>
        </w:tc>
      </w:tr>
      <w:tr w:rsidR="00540854" w:rsidRPr="003A4EBF" w:rsidTr="003970BC">
        <w:tc>
          <w:tcPr>
            <w:cnfStyle w:val="001000000000" w:firstRow="0" w:lastRow="0" w:firstColumn="1" w:lastColumn="0" w:oddVBand="0" w:evenVBand="0" w:oddHBand="0" w:evenHBand="0" w:firstRowFirstColumn="0" w:firstRowLastColumn="0" w:lastRowFirstColumn="0" w:lastRowLastColumn="0"/>
            <w:tcW w:w="1181" w:type="pct"/>
          </w:tcPr>
          <w:p w:rsidR="00540854" w:rsidRPr="00283724" w:rsidRDefault="00540854" w:rsidP="003970BC">
            <w:pPr>
              <w:pStyle w:val="TableHeading"/>
            </w:pPr>
            <w:r w:rsidRPr="00283724">
              <w:t>Fraud and exaggeration</w:t>
            </w:r>
          </w:p>
        </w:tc>
        <w:tc>
          <w:tcPr>
            <w:tcW w:w="3819" w:type="pct"/>
          </w:tcPr>
          <w:p w:rsidR="00540854" w:rsidRPr="00283724" w:rsidRDefault="00540854" w:rsidP="003970BC">
            <w:pPr>
              <w:pStyle w:val="TableText"/>
              <w:cnfStyle w:val="000000000000" w:firstRow="0" w:lastRow="0" w:firstColumn="0" w:lastColumn="0" w:oddVBand="0" w:evenVBand="0" w:oddHBand="0" w:evenHBand="0" w:firstRowFirstColumn="0" w:firstRowLastColumn="0" w:lastRowFirstColumn="0" w:lastRowLastColumn="0"/>
            </w:pPr>
            <w:r w:rsidRPr="00283724">
              <w:t>Defined benefits would reduce the incentive and opportunity for fraudulent behaviours and improve the integrity of the scheme. Measures to address fraud would still be required.</w:t>
            </w:r>
          </w:p>
        </w:tc>
      </w:tr>
      <w:tr w:rsidR="00540854" w:rsidRPr="003A4EBF" w:rsidTr="003970BC">
        <w:tc>
          <w:tcPr>
            <w:cnfStyle w:val="001000000000" w:firstRow="0" w:lastRow="0" w:firstColumn="1" w:lastColumn="0" w:oddVBand="0" w:evenVBand="0" w:oddHBand="0" w:evenHBand="0" w:firstRowFirstColumn="0" w:firstRowLastColumn="0" w:lastRowFirstColumn="0" w:lastRowLastColumn="0"/>
            <w:tcW w:w="1181" w:type="pct"/>
          </w:tcPr>
          <w:p w:rsidR="00540854" w:rsidRPr="00283724" w:rsidRDefault="00540854" w:rsidP="003970BC">
            <w:pPr>
              <w:pStyle w:val="TableHeading"/>
            </w:pPr>
            <w:r w:rsidRPr="00283724">
              <w:t>Affordability</w:t>
            </w:r>
          </w:p>
        </w:tc>
        <w:tc>
          <w:tcPr>
            <w:tcW w:w="3819" w:type="pct"/>
          </w:tcPr>
          <w:p w:rsidR="00540854" w:rsidRPr="00283724" w:rsidRDefault="00540854" w:rsidP="003970BC">
            <w:pPr>
              <w:pStyle w:val="TableText"/>
              <w:cnfStyle w:val="000000000000" w:firstRow="0" w:lastRow="0" w:firstColumn="0" w:lastColumn="0" w:oddVBand="0" w:evenVBand="0" w:oddHBand="0" w:evenHBand="0" w:firstRowFirstColumn="0" w:firstRowLastColumn="0" w:lastRowFirstColumn="0" w:lastRowLastColumn="0"/>
            </w:pPr>
            <w:r w:rsidRPr="00283724">
              <w:t xml:space="preserve">The certainty for insurers of defined benefits and the reduction in time for payments to be </w:t>
            </w:r>
            <w:proofErr w:type="gramStart"/>
            <w:r w:rsidRPr="00283724">
              <w:t>made,</w:t>
            </w:r>
            <w:proofErr w:type="gramEnd"/>
            <w:r w:rsidRPr="00283724">
              <w:t xml:space="preserve"> combined with changes to benefits and scheme costs would improve affordability. The level of improvement would be dependent on the level of the benefits, thresholds and caps.</w:t>
            </w:r>
          </w:p>
        </w:tc>
      </w:tr>
    </w:tbl>
    <w:p w:rsidR="00540854" w:rsidRPr="007215F8" w:rsidRDefault="00540854" w:rsidP="00C51DEF"/>
    <w:p w:rsidR="00375EBF" w:rsidRDefault="00375EBF">
      <w:pPr>
        <w:adjustRightInd/>
        <w:snapToGrid/>
        <w:spacing w:after="0" w:line="240" w:lineRule="auto"/>
      </w:pPr>
      <w:r>
        <w:br w:type="page"/>
      </w:r>
    </w:p>
    <w:p w:rsidR="00375EBF" w:rsidRDefault="00462A24" w:rsidP="00EF4178">
      <w:pPr>
        <w:pStyle w:val="SectionHeadingNonToC"/>
        <w:framePr w:wrap="around"/>
      </w:pPr>
      <w:r w:rsidRPr="00462A24">
        <w:lastRenderedPageBreak/>
        <w:t>Potential reform options</w:t>
      </w:r>
    </w:p>
    <w:tbl>
      <w:tblPr>
        <w:tblStyle w:val="PlaceholderGrid"/>
        <w:tblpPr w:leftFromText="181" w:rightFromText="181" w:topFromText="170" w:bottomFromText="170" w:vertAnchor="text" w:horzAnchor="page" w:tblpX="852" w:tblpY="-56"/>
        <w:tblOverlap w:val="never"/>
        <w:tblW w:w="10206" w:type="dxa"/>
        <w:tblLayout w:type="fixed"/>
        <w:tblLook w:val="04A0" w:firstRow="1" w:lastRow="0" w:firstColumn="1" w:lastColumn="0" w:noHBand="0" w:noVBand="1"/>
        <w:tblCaption w:val="Questions on possible options"/>
      </w:tblPr>
      <w:tblGrid>
        <w:gridCol w:w="10206"/>
      </w:tblGrid>
      <w:tr w:rsidR="00462A24" w:rsidTr="00D72E2C">
        <w:trPr>
          <w:trHeight w:val="1469"/>
          <w:tblHeader/>
        </w:trPr>
        <w:tc>
          <w:tcPr>
            <w:tcW w:w="10206" w:type="dxa"/>
          </w:tcPr>
          <w:p w:rsidR="00462A24" w:rsidRDefault="00462A24" w:rsidP="004F70AB">
            <w:pPr>
              <w:pStyle w:val="Heading1NonToC"/>
            </w:pPr>
            <w:r w:rsidRPr="00462A24">
              <w:t>Questions on possible options</w:t>
            </w:r>
          </w:p>
          <w:p w:rsidR="00462A24" w:rsidRDefault="00462A24" w:rsidP="00462A24">
            <w:pPr>
              <w:pStyle w:val="PullOutNumber"/>
              <w:framePr w:hSpace="0" w:vSpace="0" w:wrap="auto" w:vAnchor="margin" w:hAnchor="text" w:xAlign="left" w:yAlign="inline"/>
              <w:suppressOverlap w:val="0"/>
            </w:pPr>
            <w:r>
              <w:t>What should be the most important features in any scheme reform?</w:t>
            </w:r>
          </w:p>
          <w:p w:rsidR="00462A24" w:rsidRDefault="00462A24" w:rsidP="00462A24">
            <w:pPr>
              <w:pStyle w:val="PullOutNumber"/>
              <w:framePr w:hSpace="0" w:vSpace="0" w:wrap="auto" w:vAnchor="margin" w:hAnchor="text" w:xAlign="left" w:yAlign="inline"/>
              <w:suppressOverlap w:val="0"/>
            </w:pPr>
            <w:r>
              <w:t>On balance, which option or combination of options do you believe best addresses the priorities for improving the scheme and why?</w:t>
            </w:r>
          </w:p>
          <w:p w:rsidR="00462A24" w:rsidRDefault="00462A24" w:rsidP="00462A24">
            <w:pPr>
              <w:pStyle w:val="PullOutNumber"/>
              <w:framePr w:hSpace="0" w:vSpace="0" w:wrap="auto" w:vAnchor="margin" w:hAnchor="text" w:xAlign="left" w:yAlign="inline"/>
              <w:suppressOverlap w:val="0"/>
            </w:pPr>
            <w:r>
              <w:t>Does fault in an accident remain the most acceptable way of determining eligibility for benefits or is it more important that anyone injured on the road is covered, even if this means fewer savings in any reform?</w:t>
            </w:r>
          </w:p>
          <w:p w:rsidR="00462A24" w:rsidRDefault="00462A24" w:rsidP="00462A24">
            <w:pPr>
              <w:pStyle w:val="PullOutNumber"/>
              <w:framePr w:hSpace="0" w:vSpace="0" w:wrap="auto" w:vAnchor="margin" w:hAnchor="text" w:xAlign="left" w:yAlign="inline"/>
              <w:suppressOverlap w:val="0"/>
            </w:pPr>
            <w:r>
              <w:t>Is it more important to reduce CTP prices or to extend benefits to more people?</w:t>
            </w:r>
          </w:p>
          <w:p w:rsidR="00462A24" w:rsidRDefault="00462A24" w:rsidP="00462A24">
            <w:pPr>
              <w:pStyle w:val="PullOutNumber"/>
              <w:framePr w:hSpace="0" w:vSpace="0" w:wrap="auto" w:vAnchor="margin" w:hAnchor="text" w:xAlign="left" w:yAlign="inline"/>
              <w:suppressOverlap w:val="0"/>
            </w:pPr>
            <w:r>
              <w:t>Are people better looked after if receiving a negotiated lump sum (often years) after the accident or receiving prescribed weekly benefits shortly after making their claim?</w:t>
            </w:r>
          </w:p>
          <w:p w:rsidR="00462A24" w:rsidRDefault="00462A24" w:rsidP="00462A24">
            <w:pPr>
              <w:pStyle w:val="PullOutNumber"/>
              <w:framePr w:hSpace="0" w:vSpace="0" w:wrap="auto" w:vAnchor="margin" w:hAnchor="text" w:xAlign="left" w:yAlign="inline"/>
              <w:suppressOverlap w:val="0"/>
            </w:pPr>
            <w:r>
              <w:t>Should a greater proportion of funds go to the more severely injured, even if this means capping benefits or introducing an excess for low severity injuries?</w:t>
            </w:r>
          </w:p>
          <w:p w:rsidR="00462A24" w:rsidRDefault="00462A24" w:rsidP="00462A24">
            <w:pPr>
              <w:pStyle w:val="PullOutNumber"/>
              <w:framePr w:hSpace="0" w:vSpace="0" w:wrap="auto" w:vAnchor="margin" w:hAnchor="text" w:xAlign="left" w:yAlign="inline"/>
              <w:suppressOverlap w:val="0"/>
            </w:pPr>
            <w:r>
              <w:t>If Government retains common law, should there be tighter restrictions and caps on various benefits as is the case in other States, or if the Government adopted defined benefits should the caps and thresholds reflect what is paid in other States?</w:t>
            </w:r>
          </w:p>
          <w:p w:rsidR="00462A24" w:rsidRDefault="00462A24" w:rsidP="00462A24">
            <w:pPr>
              <w:pStyle w:val="PullOutNumber"/>
              <w:framePr w:hSpace="0" w:vSpace="0" w:wrap="auto" w:vAnchor="margin" w:hAnchor="text" w:xAlign="left" w:yAlign="inline"/>
              <w:suppressOverlap w:val="0"/>
            </w:pPr>
            <w:r>
              <w:t>If the Government retains common law, what is the best method and threshold to determine eligibility?</w:t>
            </w:r>
          </w:p>
          <w:p w:rsidR="00462A24" w:rsidRDefault="00462A24" w:rsidP="00462A24">
            <w:pPr>
              <w:pStyle w:val="PullOutNumber"/>
              <w:framePr w:hSpace="0" w:vSpace="0" w:wrap="auto" w:vAnchor="margin" w:hAnchor="text" w:xAlign="left" w:yAlign="inline"/>
              <w:suppressOverlap w:val="0"/>
            </w:pPr>
            <w:r>
              <w:t>If Government retains common law, what mechanisms should be adopted to resolve claims more quickly and avoid lengthy negotiations and disputes?</w:t>
            </w:r>
          </w:p>
          <w:p w:rsidR="00462A24" w:rsidRDefault="00462A24" w:rsidP="00462A24">
            <w:pPr>
              <w:pStyle w:val="PullOutNumber"/>
              <w:framePr w:hSpace="0" w:vSpace="0" w:wrap="auto" w:vAnchor="margin" w:hAnchor="text" w:xAlign="left" w:yAlign="inline"/>
              <w:suppressOverlap w:val="0"/>
            </w:pPr>
            <w:r>
              <w:t>Should there be limits to legal expenses, especially for small claims, and should legal expenses be linked to the work performed or the value of the claim?</w:t>
            </w:r>
          </w:p>
        </w:tc>
      </w:tr>
    </w:tbl>
    <w:p w:rsidR="00375EBF" w:rsidRDefault="00375EBF">
      <w:pPr>
        <w:adjustRightInd/>
        <w:snapToGrid/>
        <w:spacing w:after="0" w:line="240" w:lineRule="auto"/>
      </w:pPr>
      <w:r>
        <w:br w:type="page"/>
      </w:r>
    </w:p>
    <w:p w:rsidR="00375EBF" w:rsidRDefault="001A04C8" w:rsidP="001A04C8">
      <w:pPr>
        <w:pStyle w:val="SectionHeading"/>
        <w:framePr w:wrap="around"/>
      </w:pPr>
      <w:bookmarkStart w:id="25" w:name="_Toc448404743"/>
      <w:r w:rsidRPr="001A04C8">
        <w:lastRenderedPageBreak/>
        <w:t>How to make a submission</w:t>
      </w:r>
      <w:bookmarkEnd w:id="25"/>
    </w:p>
    <w:p w:rsidR="00250BD5" w:rsidRDefault="001A04C8" w:rsidP="00B874F2">
      <w:r w:rsidRPr="00250BD5">
        <w:t xml:space="preserve">Comments can be sent to: CTP_Review@sira.nsw.gov.au or </w:t>
      </w:r>
      <w:r w:rsidR="00250BD5">
        <w:br/>
      </w:r>
      <w:r w:rsidRPr="00250BD5">
        <w:t xml:space="preserve">by </w:t>
      </w:r>
      <w:r w:rsidR="00250BD5">
        <w:t xml:space="preserve">post (marked confidential) to: </w:t>
      </w:r>
    </w:p>
    <w:p w:rsidR="001A04C8" w:rsidRPr="00250BD5" w:rsidRDefault="001A04C8" w:rsidP="00B874F2">
      <w:r w:rsidRPr="00250BD5">
        <w:t>CTP Review</w:t>
      </w:r>
      <w:r w:rsidR="00250BD5">
        <w:br/>
      </w:r>
      <w:r w:rsidRPr="00250BD5">
        <w:t xml:space="preserve">State </w:t>
      </w:r>
      <w:r w:rsidR="00250BD5">
        <w:t xml:space="preserve">Insurance Regulatory Authority </w:t>
      </w:r>
      <w:r w:rsidR="00250BD5">
        <w:br/>
        <w:t>Level 25</w:t>
      </w:r>
      <w:r w:rsidR="00250BD5">
        <w:br/>
      </w:r>
      <w:r w:rsidRPr="00250BD5">
        <w:t>580 Ge</w:t>
      </w:r>
      <w:r w:rsidR="00250BD5">
        <w:t>orge Street</w:t>
      </w:r>
      <w:r w:rsidR="00250BD5">
        <w:br/>
      </w:r>
      <w:r w:rsidRPr="00250BD5">
        <w:t>Sydney NSW 2000</w:t>
      </w:r>
    </w:p>
    <w:p w:rsidR="001A04C8" w:rsidRDefault="001A04C8" w:rsidP="00B874F2">
      <w:proofErr w:type="gramStart"/>
      <w:r w:rsidRPr="00250BD5">
        <w:t>by</w:t>
      </w:r>
      <w:proofErr w:type="gramEnd"/>
      <w:r w:rsidRPr="00250BD5">
        <w:t xml:space="preserve"> </w:t>
      </w:r>
      <w:r w:rsidRPr="00250BD5">
        <w:rPr>
          <w:b/>
        </w:rPr>
        <w:t>Friday 22 April 2016</w:t>
      </w:r>
      <w:r w:rsidRPr="00250BD5">
        <w:t>.</w:t>
      </w:r>
    </w:p>
    <w:p w:rsidR="001A04C8" w:rsidRDefault="00240484" w:rsidP="001A04C8">
      <w:r>
        <w:br w:type="column"/>
      </w:r>
      <w:r w:rsidR="001A04C8">
        <w:t xml:space="preserve">Please indicate which question(s) you are responding to or you can use the PDF submission form. </w:t>
      </w:r>
    </w:p>
    <w:p w:rsidR="001A04C8" w:rsidRDefault="001A04C8" w:rsidP="001A04C8">
      <w:r>
        <w:t xml:space="preserve">The CTP Options Paper and PDF submission form are available from </w:t>
      </w:r>
    </w:p>
    <w:p w:rsidR="001A04C8" w:rsidRPr="001A04C8" w:rsidRDefault="001A04C8" w:rsidP="001A04C8">
      <w:pPr>
        <w:rPr>
          <w:b/>
        </w:rPr>
      </w:pPr>
      <w:r w:rsidRPr="001A04C8">
        <w:rPr>
          <w:b/>
        </w:rPr>
        <w:t>www.sira.nsw.gov.au/CTP-reforms</w:t>
      </w:r>
    </w:p>
    <w:p w:rsidR="001A04C8" w:rsidRDefault="001A04C8" w:rsidP="001A04C8">
      <w:r>
        <w:t>Please note that the Government has not yet made any decisions. All comments will be considered before the Government makes any decisions about whether changes will be made to the CTP scheme.</w:t>
      </w:r>
    </w:p>
    <w:p w:rsidR="001A04C8" w:rsidRPr="001A04C8" w:rsidRDefault="001A04C8" w:rsidP="001A04C8">
      <w:r>
        <w:t>The Government reserves the right to publish submissions and authors should indicate if any or all of a submission should not be made public.</w:t>
      </w:r>
    </w:p>
    <w:p w:rsidR="0029772F" w:rsidRDefault="0029772F">
      <w:pPr>
        <w:adjustRightInd/>
        <w:snapToGrid/>
        <w:spacing w:after="0" w:line="240" w:lineRule="auto"/>
      </w:pPr>
    </w:p>
    <w:p w:rsidR="0029772F" w:rsidRDefault="0029772F">
      <w:pPr>
        <w:adjustRightInd/>
        <w:snapToGrid/>
        <w:spacing w:after="0" w:line="240" w:lineRule="auto"/>
        <w:sectPr w:rsidR="0029772F" w:rsidSect="00407AC7">
          <w:type w:val="continuous"/>
          <w:pgSz w:w="11906" w:h="16838" w:code="9"/>
          <w:pgMar w:top="765" w:right="851" w:bottom="1134" w:left="851" w:header="510" w:footer="397" w:gutter="0"/>
          <w:cols w:num="2" w:space="397"/>
          <w:docGrid w:linePitch="360"/>
        </w:sectPr>
      </w:pPr>
    </w:p>
    <w:p w:rsidR="005B7114" w:rsidRDefault="005B7114" w:rsidP="005B7114">
      <w:pPr>
        <w:pStyle w:val="SectionHeading"/>
        <w:framePr w:wrap="around"/>
      </w:pPr>
      <w:bookmarkStart w:id="26" w:name="_Toc448404744"/>
      <w:r w:rsidRPr="005B7114">
        <w:lastRenderedPageBreak/>
        <w:t>Glossary</w:t>
      </w:r>
      <w:bookmarkEnd w:id="26"/>
    </w:p>
    <w:tbl>
      <w:tblPr>
        <w:tblW w:w="0" w:type="auto"/>
        <w:tblInd w:w="170" w:type="dxa"/>
        <w:tblLayout w:type="fixed"/>
        <w:tblCellMar>
          <w:left w:w="0" w:type="dxa"/>
          <w:right w:w="0" w:type="dxa"/>
        </w:tblCellMar>
        <w:tblLook w:val="0000" w:firstRow="0" w:lastRow="0" w:firstColumn="0" w:lastColumn="0" w:noHBand="0" w:noVBand="0"/>
      </w:tblPr>
      <w:tblGrid>
        <w:gridCol w:w="2816"/>
        <w:gridCol w:w="7445"/>
      </w:tblGrid>
      <w:tr w:rsidR="00661DEC" w:rsidRPr="00B874F2" w:rsidTr="0048181C">
        <w:trPr>
          <w:trHeight w:val="60"/>
        </w:trPr>
        <w:tc>
          <w:tcPr>
            <w:tcW w:w="2816" w:type="dxa"/>
            <w:tcBorders>
              <w:top w:val="single" w:sz="6" w:space="0" w:color="000000"/>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 xml:space="preserve">Accident Notification Forms (ANFs) </w:t>
            </w:r>
          </w:p>
        </w:tc>
        <w:tc>
          <w:tcPr>
            <w:tcW w:w="7445" w:type="dxa"/>
            <w:tcBorders>
              <w:top w:val="single" w:sz="6" w:space="0" w:color="000000"/>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 xml:space="preserve">The form provides for the early payment of reasonable and necessary medical expenses and/or lost earnings up to a maximum of $5,000. ANFs can be lodged by at-fault and not at-fault injured parties. </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 xml:space="preserve">Affordability </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 xml:space="preserve">Average premium (including levies but excluding GST) charged in the quarter divided by average weekly earnings in the quarter. The higher this ratio the less affordable the premium. </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 xml:space="preserve">Claim frequency </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 xml:space="preserve">Ultimate number of claims divided by the number of vehicles. </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 xml:space="preserve">Claims handling expenses </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Refers to expenses related to managing and administering CTP claims. These expenses include costs of claims staff managing claims, rehabilitation staff, managers and support staff.</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 xml:space="preserve">Claims </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 xml:space="preserve">The claims in the NSW CTP scheme are split into full claims, ANFs and workers compensation recovery claims. </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 xml:space="preserve">Cost per policy </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 xml:space="preserve">Total cost of claims divided by the number of insured motor vehicles in NSW. </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Gratuitous care</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Refers to services which are provided to an accident victim without payment and include services of a domestic nature, services relating to nursing and services that aim to alleviate the consequences of an injury.</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 xml:space="preserve">Green Slip </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 xml:space="preserve">This is also known as a CTP policy. The term ‘Green Slip’ dates back to the start of the NSW CTP scheme in 1989 where the CTP insurance invoice was a detachable green coloured slip. </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Narrative Test</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Where the injury is considered to have resulted in less than 30% of WPI (whole person impairment) the medical practitioner should consider if the injury has resulted in any of the following consequences: serious long-term impairment or loss of a body function, permanent serious disfigurement, severe long-term mental or severe long-term behavioural disturbance or disorder, or the loss of a foetus.</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 xml:space="preserve">Profit margin </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 xml:space="preserve">Refers to the proportion of premium in excess of all insurer claims and expenses. Levies and GST are excluded from assessing the profit margin. </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 xml:space="preserve">Scheme efficiency </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 xml:space="preserve">The amount of each premium dollar, excluding GST and levies, that is returned to injured people. </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 xml:space="preserve">Superimposed inflation </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 xml:space="preserve">The increase in claim costs over time, over and above wage inflation. </w:t>
            </w:r>
          </w:p>
        </w:tc>
      </w:tr>
      <w:tr w:rsidR="00661DEC" w:rsidRPr="00B874F2" w:rsidTr="0048181C">
        <w:trPr>
          <w:trHeight w:val="60"/>
        </w:trPr>
        <w:tc>
          <w:tcPr>
            <w:tcW w:w="2816" w:type="dxa"/>
            <w:tcBorders>
              <w:top w:val="single" w:sz="16" w:space="0" w:color="FFFFFF"/>
              <w:left w:val="single" w:sz="6" w:space="0" w:color="000000"/>
              <w:bottom w:val="single" w:sz="16" w:space="0" w:color="FFFFFF"/>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 xml:space="preserve">Underwriting year </w:t>
            </w:r>
          </w:p>
        </w:tc>
        <w:tc>
          <w:tcPr>
            <w:tcW w:w="7445" w:type="dxa"/>
            <w:tcBorders>
              <w:top w:val="single" w:sz="16" w:space="0" w:color="FFFFFF"/>
              <w:left w:val="single" w:sz="16" w:space="0" w:color="FFFFFF"/>
              <w:bottom w:val="single" w:sz="16" w:space="0" w:color="FFFFFF"/>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 xml:space="preserve">The year the CTP policy was effective from. </w:t>
            </w:r>
          </w:p>
        </w:tc>
      </w:tr>
      <w:tr w:rsidR="00661DEC" w:rsidRPr="00B874F2" w:rsidTr="0048181C">
        <w:trPr>
          <w:trHeight w:val="60"/>
        </w:trPr>
        <w:tc>
          <w:tcPr>
            <w:tcW w:w="2816" w:type="dxa"/>
            <w:tcBorders>
              <w:top w:val="single" w:sz="16" w:space="0" w:color="FFFFFF"/>
              <w:left w:val="single" w:sz="6" w:space="0" w:color="000000"/>
              <w:bottom w:val="single" w:sz="6" w:space="0" w:color="000000"/>
              <w:right w:val="single" w:sz="16" w:space="0" w:color="FFFFFF"/>
            </w:tcBorders>
            <w:shd w:val="solid" w:color="008079" w:fill="auto"/>
            <w:tcMar>
              <w:top w:w="170" w:type="dxa"/>
              <w:left w:w="170" w:type="dxa"/>
              <w:bottom w:w="170" w:type="dxa"/>
              <w:right w:w="170" w:type="dxa"/>
            </w:tcMar>
          </w:tcPr>
          <w:p w:rsidR="00661DEC" w:rsidRPr="00B874F2" w:rsidRDefault="00661DEC" w:rsidP="00B874F2">
            <w:pPr>
              <w:pStyle w:val="TableHeading"/>
              <w:rPr>
                <w:rFonts w:eastAsia="SimSun"/>
              </w:rPr>
            </w:pPr>
            <w:r w:rsidRPr="00B874F2">
              <w:rPr>
                <w:rFonts w:eastAsia="SimSun"/>
              </w:rPr>
              <w:t>Whole person impairment</w:t>
            </w:r>
          </w:p>
        </w:tc>
        <w:tc>
          <w:tcPr>
            <w:tcW w:w="7445" w:type="dxa"/>
            <w:tcBorders>
              <w:top w:val="single" w:sz="16" w:space="0" w:color="FFFFFF"/>
              <w:left w:val="single" w:sz="16" w:space="0" w:color="FFFFFF"/>
              <w:bottom w:val="single" w:sz="6" w:space="0" w:color="000000"/>
              <w:right w:val="single" w:sz="6" w:space="0" w:color="000000"/>
            </w:tcBorders>
            <w:shd w:val="clear" w:color="auto" w:fill="4DA7A1"/>
            <w:tcMar>
              <w:top w:w="170" w:type="dxa"/>
              <w:left w:w="170" w:type="dxa"/>
              <w:bottom w:w="170" w:type="dxa"/>
              <w:right w:w="170" w:type="dxa"/>
            </w:tcMar>
          </w:tcPr>
          <w:p w:rsidR="00661DEC" w:rsidRPr="00B874F2" w:rsidRDefault="00661DEC" w:rsidP="00B874F2">
            <w:pPr>
              <w:pStyle w:val="TableText"/>
              <w:rPr>
                <w:rFonts w:eastAsia="SimSun"/>
              </w:rPr>
            </w:pPr>
            <w:r w:rsidRPr="00B874F2">
              <w:rPr>
                <w:rFonts w:eastAsia="SimSun"/>
              </w:rPr>
              <w:t>Permanent impairment of any body part, system or function to the extent to which it permanently impairs an individual as a whole person.</w:t>
            </w:r>
          </w:p>
        </w:tc>
      </w:tr>
    </w:tbl>
    <w:p w:rsidR="005B7114" w:rsidRDefault="005B7114" w:rsidP="005B7114">
      <w:pPr>
        <w:pStyle w:val="SectionHeading"/>
        <w:framePr w:wrap="around"/>
      </w:pPr>
      <w:bookmarkStart w:id="27" w:name="_Toc448404745"/>
      <w:r w:rsidRPr="005B7114">
        <w:lastRenderedPageBreak/>
        <w:t>Appendix: Compari</w:t>
      </w:r>
      <w:r w:rsidR="00287E4E">
        <w:t>son of schemes around Australia</w:t>
      </w:r>
      <w:r w:rsidR="00685806" w:rsidRPr="00786A19">
        <w:rPr>
          <w:rStyle w:val="FootnoteReference"/>
          <w:rFonts w:asciiTheme="majorHAnsi" w:hAnsiTheme="majorHAnsi"/>
          <w:szCs w:val="48"/>
        </w:rPr>
        <w:footnoteReference w:id="6"/>
      </w:r>
      <w:bookmarkEnd w:id="27"/>
    </w:p>
    <w:tbl>
      <w:tblPr>
        <w:tblStyle w:val="SIRATable"/>
        <w:tblW w:w="5000" w:type="pct"/>
        <w:tblInd w:w="0" w:type="dxa"/>
        <w:tblLook w:val="04A0" w:firstRow="1" w:lastRow="0" w:firstColumn="1" w:lastColumn="0" w:noHBand="0" w:noVBand="1"/>
        <w:tblCaption w:val="Comparison of schemes table"/>
      </w:tblPr>
      <w:tblGrid>
        <w:gridCol w:w="1299"/>
        <w:gridCol w:w="1247"/>
        <w:gridCol w:w="1121"/>
        <w:gridCol w:w="1123"/>
        <w:gridCol w:w="1121"/>
        <w:gridCol w:w="1121"/>
        <w:gridCol w:w="1123"/>
        <w:gridCol w:w="1144"/>
        <w:gridCol w:w="1121"/>
      </w:tblGrid>
      <w:tr w:rsidR="005B7114" w:rsidRPr="0074544A" w:rsidTr="00D72E2C">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23" w:type="pct"/>
            <w:shd w:val="clear" w:color="auto" w:fill="auto"/>
          </w:tcPr>
          <w:p w:rsidR="005B7114" w:rsidRPr="0074544A" w:rsidRDefault="005B7114" w:rsidP="00D9246E">
            <w:pPr>
              <w:pStyle w:val="TableHeading"/>
              <w:rPr>
                <w:sz w:val="15"/>
                <w:szCs w:val="15"/>
              </w:rPr>
            </w:pPr>
          </w:p>
        </w:tc>
        <w:tc>
          <w:tcPr>
            <w:tcW w:w="598" w:type="pct"/>
          </w:tcPr>
          <w:p w:rsidR="005B7114" w:rsidRPr="0074544A" w:rsidRDefault="005B7114" w:rsidP="00D9246E">
            <w:pPr>
              <w:pStyle w:val="TableHeading"/>
              <w:cnfStyle w:val="100000000000" w:firstRow="1" w:lastRow="0" w:firstColumn="0" w:lastColumn="0" w:oddVBand="0" w:evenVBand="0" w:oddHBand="0" w:evenHBand="0" w:firstRowFirstColumn="0" w:firstRowLastColumn="0" w:lastRowFirstColumn="0" w:lastRowLastColumn="0"/>
              <w:rPr>
                <w:sz w:val="15"/>
                <w:szCs w:val="15"/>
              </w:rPr>
            </w:pPr>
            <w:r w:rsidRPr="0074544A">
              <w:rPr>
                <w:sz w:val="15"/>
                <w:szCs w:val="15"/>
              </w:rPr>
              <w:t>NSW</w:t>
            </w:r>
          </w:p>
        </w:tc>
        <w:tc>
          <w:tcPr>
            <w:tcW w:w="538" w:type="pct"/>
          </w:tcPr>
          <w:p w:rsidR="005B7114" w:rsidRPr="0074544A" w:rsidRDefault="005B7114" w:rsidP="00D9246E">
            <w:pPr>
              <w:pStyle w:val="TableHeading"/>
              <w:cnfStyle w:val="100000000000" w:firstRow="1" w:lastRow="0" w:firstColumn="0" w:lastColumn="0" w:oddVBand="0" w:evenVBand="0" w:oddHBand="0" w:evenHBand="0" w:firstRowFirstColumn="0" w:firstRowLastColumn="0" w:lastRowFirstColumn="0" w:lastRowLastColumn="0"/>
              <w:rPr>
                <w:sz w:val="15"/>
                <w:szCs w:val="15"/>
              </w:rPr>
            </w:pPr>
            <w:r w:rsidRPr="0074544A">
              <w:rPr>
                <w:sz w:val="15"/>
                <w:szCs w:val="15"/>
              </w:rPr>
              <w:t>VIC</w:t>
            </w:r>
          </w:p>
        </w:tc>
        <w:tc>
          <w:tcPr>
            <w:tcW w:w="539" w:type="pct"/>
          </w:tcPr>
          <w:p w:rsidR="005B7114" w:rsidRPr="0074544A" w:rsidRDefault="005B7114" w:rsidP="00D9246E">
            <w:pPr>
              <w:pStyle w:val="TableHeading"/>
              <w:cnfStyle w:val="100000000000" w:firstRow="1" w:lastRow="0" w:firstColumn="0" w:lastColumn="0" w:oddVBand="0" w:evenVBand="0" w:oddHBand="0" w:evenHBand="0" w:firstRowFirstColumn="0" w:firstRowLastColumn="0" w:lastRowFirstColumn="0" w:lastRowLastColumn="0"/>
              <w:rPr>
                <w:sz w:val="15"/>
                <w:szCs w:val="15"/>
              </w:rPr>
            </w:pPr>
            <w:r w:rsidRPr="0074544A">
              <w:rPr>
                <w:sz w:val="15"/>
                <w:szCs w:val="15"/>
              </w:rPr>
              <w:t>TAS</w:t>
            </w:r>
          </w:p>
        </w:tc>
        <w:tc>
          <w:tcPr>
            <w:tcW w:w="538" w:type="pct"/>
          </w:tcPr>
          <w:p w:rsidR="005B7114" w:rsidRPr="0074544A" w:rsidRDefault="005B7114" w:rsidP="00D9246E">
            <w:pPr>
              <w:pStyle w:val="TableHeading"/>
              <w:cnfStyle w:val="100000000000" w:firstRow="1" w:lastRow="0" w:firstColumn="0" w:lastColumn="0" w:oddVBand="0" w:evenVBand="0" w:oddHBand="0" w:evenHBand="0" w:firstRowFirstColumn="0" w:firstRowLastColumn="0" w:lastRowFirstColumn="0" w:lastRowLastColumn="0"/>
              <w:rPr>
                <w:sz w:val="15"/>
                <w:szCs w:val="15"/>
              </w:rPr>
            </w:pPr>
            <w:r w:rsidRPr="0074544A">
              <w:rPr>
                <w:sz w:val="15"/>
                <w:szCs w:val="15"/>
              </w:rPr>
              <w:t>QLD</w:t>
            </w:r>
          </w:p>
        </w:tc>
        <w:tc>
          <w:tcPr>
            <w:tcW w:w="538" w:type="pct"/>
          </w:tcPr>
          <w:p w:rsidR="005B7114" w:rsidRPr="0074544A" w:rsidRDefault="005B7114" w:rsidP="00D9246E">
            <w:pPr>
              <w:pStyle w:val="TableHeading"/>
              <w:cnfStyle w:val="100000000000" w:firstRow="1" w:lastRow="0" w:firstColumn="0" w:lastColumn="0" w:oddVBand="0" w:evenVBand="0" w:oddHBand="0" w:evenHBand="0" w:firstRowFirstColumn="0" w:firstRowLastColumn="0" w:lastRowFirstColumn="0" w:lastRowLastColumn="0"/>
              <w:rPr>
                <w:sz w:val="15"/>
                <w:szCs w:val="15"/>
              </w:rPr>
            </w:pPr>
            <w:r w:rsidRPr="0074544A">
              <w:rPr>
                <w:sz w:val="15"/>
                <w:szCs w:val="15"/>
              </w:rPr>
              <w:t>SA</w:t>
            </w:r>
          </w:p>
        </w:tc>
        <w:tc>
          <w:tcPr>
            <w:tcW w:w="539" w:type="pct"/>
          </w:tcPr>
          <w:p w:rsidR="005B7114" w:rsidRPr="0074544A" w:rsidRDefault="005B7114" w:rsidP="00D9246E">
            <w:pPr>
              <w:pStyle w:val="TableHeading"/>
              <w:cnfStyle w:val="100000000000" w:firstRow="1" w:lastRow="0" w:firstColumn="0" w:lastColumn="0" w:oddVBand="0" w:evenVBand="0" w:oddHBand="0" w:evenHBand="0" w:firstRowFirstColumn="0" w:firstRowLastColumn="0" w:lastRowFirstColumn="0" w:lastRowLastColumn="0"/>
              <w:rPr>
                <w:sz w:val="15"/>
                <w:szCs w:val="15"/>
              </w:rPr>
            </w:pPr>
            <w:r w:rsidRPr="0074544A">
              <w:rPr>
                <w:sz w:val="15"/>
                <w:szCs w:val="15"/>
              </w:rPr>
              <w:t>WA</w:t>
            </w:r>
          </w:p>
        </w:tc>
        <w:tc>
          <w:tcPr>
            <w:tcW w:w="549" w:type="pct"/>
          </w:tcPr>
          <w:p w:rsidR="005B7114" w:rsidRPr="0074544A" w:rsidRDefault="005B7114" w:rsidP="00D9246E">
            <w:pPr>
              <w:pStyle w:val="TableHeading"/>
              <w:cnfStyle w:val="100000000000" w:firstRow="1" w:lastRow="0" w:firstColumn="0" w:lastColumn="0" w:oddVBand="0" w:evenVBand="0" w:oddHBand="0" w:evenHBand="0" w:firstRowFirstColumn="0" w:firstRowLastColumn="0" w:lastRowFirstColumn="0" w:lastRowLastColumn="0"/>
              <w:rPr>
                <w:sz w:val="15"/>
                <w:szCs w:val="15"/>
              </w:rPr>
            </w:pPr>
            <w:r w:rsidRPr="0074544A">
              <w:rPr>
                <w:sz w:val="15"/>
                <w:szCs w:val="15"/>
              </w:rPr>
              <w:t>ACT</w:t>
            </w:r>
          </w:p>
        </w:tc>
        <w:tc>
          <w:tcPr>
            <w:tcW w:w="538" w:type="pct"/>
          </w:tcPr>
          <w:p w:rsidR="005B7114" w:rsidRPr="0074544A" w:rsidRDefault="005B7114" w:rsidP="00D9246E">
            <w:pPr>
              <w:pStyle w:val="TableHeading"/>
              <w:cnfStyle w:val="100000000000" w:firstRow="1" w:lastRow="0" w:firstColumn="0" w:lastColumn="0" w:oddVBand="0" w:evenVBand="0" w:oddHBand="0" w:evenHBand="0" w:firstRowFirstColumn="0" w:firstRowLastColumn="0" w:lastRowFirstColumn="0" w:lastRowLastColumn="0"/>
              <w:rPr>
                <w:sz w:val="15"/>
                <w:szCs w:val="15"/>
              </w:rPr>
            </w:pPr>
            <w:r w:rsidRPr="0074544A">
              <w:rPr>
                <w:sz w:val="15"/>
                <w:szCs w:val="15"/>
              </w:rPr>
              <w:t>NT</w:t>
            </w:r>
          </w:p>
        </w:tc>
      </w:tr>
      <w:tr w:rsidR="0029772F" w:rsidRPr="0074544A" w:rsidTr="00240484">
        <w:trPr>
          <w:trHeight w:val="60"/>
        </w:trPr>
        <w:tc>
          <w:tcPr>
            <w:cnfStyle w:val="001000000000" w:firstRow="0" w:lastRow="0" w:firstColumn="1" w:lastColumn="0" w:oddVBand="0" w:evenVBand="0" w:oddHBand="0" w:evenHBand="0" w:firstRowFirstColumn="0" w:firstRowLastColumn="0" w:lastRowFirstColumn="0" w:lastRowLastColumn="0"/>
            <w:tcW w:w="623" w:type="pct"/>
          </w:tcPr>
          <w:p w:rsidR="005B7114" w:rsidRPr="0074544A" w:rsidRDefault="005B7114" w:rsidP="005B7114">
            <w:pPr>
              <w:pStyle w:val="TableColumn"/>
              <w:rPr>
                <w:sz w:val="15"/>
                <w:szCs w:val="15"/>
              </w:rPr>
            </w:pPr>
            <w:r w:rsidRPr="0074544A">
              <w:rPr>
                <w:sz w:val="15"/>
                <w:szCs w:val="15"/>
              </w:rPr>
              <w:t>Scheme type</w:t>
            </w:r>
          </w:p>
        </w:tc>
        <w:tc>
          <w:tcPr>
            <w:tcW w:w="598" w:type="pct"/>
          </w:tcPr>
          <w:p w:rsidR="005B7114" w:rsidRPr="0074544A" w:rsidRDefault="005B7114" w:rsidP="00B874F2">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Primarily fault-based, common law with restrictions</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Hybrid – no-fault defined benefits, common law with restrictions for the most seriously injured</w:t>
            </w:r>
          </w:p>
        </w:tc>
        <w:tc>
          <w:tcPr>
            <w:tcW w:w="53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Hybrid – no-fault defined benefits, common law with restrictions</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Fault-based, common law with restrictions</w:t>
            </w:r>
          </w:p>
        </w:tc>
        <w:tc>
          <w:tcPr>
            <w:tcW w:w="538" w:type="pct"/>
          </w:tcPr>
          <w:p w:rsidR="005B7114" w:rsidRPr="0074544A" w:rsidRDefault="005B7114" w:rsidP="004031EB">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Primarily fault-base</w:t>
            </w:r>
            <w:r w:rsidR="004031EB" w:rsidRPr="0074544A">
              <w:rPr>
                <w:sz w:val="15"/>
                <w:szCs w:val="15"/>
                <w:lang w:val="en-US"/>
              </w:rPr>
              <w:t>d, common law with restrictions</w:t>
            </w:r>
          </w:p>
        </w:tc>
        <w:tc>
          <w:tcPr>
            <w:tcW w:w="539" w:type="pct"/>
          </w:tcPr>
          <w:p w:rsidR="005B7114" w:rsidRPr="0074544A" w:rsidRDefault="005B7114" w:rsidP="004031EB">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Fault-base</w:t>
            </w:r>
            <w:r w:rsidR="004031EB" w:rsidRPr="0074544A">
              <w:rPr>
                <w:sz w:val="15"/>
                <w:szCs w:val="15"/>
                <w:lang w:val="en-US"/>
              </w:rPr>
              <w:t>d, common law with restrictions</w:t>
            </w:r>
          </w:p>
        </w:tc>
        <w:tc>
          <w:tcPr>
            <w:tcW w:w="549" w:type="pct"/>
          </w:tcPr>
          <w:p w:rsidR="005B7114" w:rsidRPr="0074544A" w:rsidRDefault="005B7114" w:rsidP="004031EB">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Fault-based, unrestricted common law</w:t>
            </w:r>
          </w:p>
        </w:tc>
        <w:tc>
          <w:tcPr>
            <w:tcW w:w="538" w:type="pct"/>
          </w:tcPr>
          <w:p w:rsidR="005B7114" w:rsidRPr="0074544A" w:rsidRDefault="005B7114" w:rsidP="004031EB">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No-fault, defined benefits only</w:t>
            </w:r>
          </w:p>
        </w:tc>
      </w:tr>
      <w:tr w:rsidR="0029772F" w:rsidRPr="0074544A" w:rsidTr="00240484">
        <w:trPr>
          <w:trHeight w:val="60"/>
        </w:trPr>
        <w:tc>
          <w:tcPr>
            <w:cnfStyle w:val="001000000000" w:firstRow="0" w:lastRow="0" w:firstColumn="1" w:lastColumn="0" w:oddVBand="0" w:evenVBand="0" w:oddHBand="0" w:evenHBand="0" w:firstRowFirstColumn="0" w:firstRowLastColumn="0" w:lastRowFirstColumn="0" w:lastRowLastColumn="0"/>
            <w:tcW w:w="623" w:type="pct"/>
          </w:tcPr>
          <w:p w:rsidR="005B7114" w:rsidRPr="0074544A" w:rsidRDefault="005B7114" w:rsidP="004770CB">
            <w:pPr>
              <w:pStyle w:val="TableColumn"/>
              <w:rPr>
                <w:sz w:val="15"/>
                <w:szCs w:val="15"/>
              </w:rPr>
            </w:pPr>
            <w:r w:rsidRPr="0074544A">
              <w:rPr>
                <w:sz w:val="15"/>
                <w:szCs w:val="15"/>
              </w:rPr>
              <w:t>Average premium - December 2015</w:t>
            </w:r>
            <w:r w:rsidR="004770CB">
              <w:rPr>
                <w:rStyle w:val="FootnoteReference"/>
                <w:sz w:val="15"/>
                <w:szCs w:val="15"/>
              </w:rPr>
              <w:footnoteReference w:id="7"/>
            </w:r>
          </w:p>
        </w:tc>
        <w:tc>
          <w:tcPr>
            <w:tcW w:w="59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$637</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$494</w:t>
            </w:r>
          </w:p>
        </w:tc>
        <w:tc>
          <w:tcPr>
            <w:tcW w:w="53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$338</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$330</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$488</w:t>
            </w:r>
          </w:p>
        </w:tc>
        <w:tc>
          <w:tcPr>
            <w:tcW w:w="53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$303</w:t>
            </w:r>
          </w:p>
        </w:tc>
        <w:tc>
          <w:tcPr>
            <w:tcW w:w="54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$595</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$544</w:t>
            </w:r>
          </w:p>
        </w:tc>
      </w:tr>
      <w:tr w:rsidR="0029772F" w:rsidRPr="0074544A" w:rsidTr="00240484">
        <w:trPr>
          <w:trHeight w:val="60"/>
        </w:trPr>
        <w:tc>
          <w:tcPr>
            <w:cnfStyle w:val="001000000000" w:firstRow="0" w:lastRow="0" w:firstColumn="1" w:lastColumn="0" w:oddVBand="0" w:evenVBand="0" w:oddHBand="0" w:evenHBand="0" w:firstRowFirstColumn="0" w:firstRowLastColumn="0" w:lastRowFirstColumn="0" w:lastRowLastColumn="0"/>
            <w:tcW w:w="623" w:type="pct"/>
          </w:tcPr>
          <w:p w:rsidR="005B7114" w:rsidRPr="0074544A" w:rsidRDefault="005B7114" w:rsidP="005B7114">
            <w:pPr>
              <w:pStyle w:val="TableColumn"/>
              <w:rPr>
                <w:sz w:val="15"/>
                <w:szCs w:val="15"/>
              </w:rPr>
            </w:pPr>
            <w:r w:rsidRPr="0074544A">
              <w:rPr>
                <w:sz w:val="15"/>
                <w:szCs w:val="15"/>
              </w:rPr>
              <w:t>Underwriting model</w:t>
            </w:r>
          </w:p>
        </w:tc>
        <w:tc>
          <w:tcPr>
            <w:tcW w:w="598" w:type="pct"/>
          </w:tcPr>
          <w:p w:rsidR="005B7114" w:rsidRPr="0074544A" w:rsidRDefault="005B7114" w:rsidP="004031EB">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Private insurers</w:t>
            </w:r>
          </w:p>
        </w:tc>
        <w:tc>
          <w:tcPr>
            <w:tcW w:w="538" w:type="pct"/>
          </w:tcPr>
          <w:p w:rsidR="005B7114" w:rsidRPr="0074544A" w:rsidRDefault="005B7114" w:rsidP="00553268">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Public monopoly</w:t>
            </w:r>
          </w:p>
        </w:tc>
        <w:tc>
          <w:tcPr>
            <w:tcW w:w="539" w:type="pct"/>
          </w:tcPr>
          <w:p w:rsidR="005B7114" w:rsidRPr="0074544A" w:rsidRDefault="005B7114" w:rsidP="00553268">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Public</w:t>
            </w:r>
            <w:r w:rsidR="00553268" w:rsidRPr="0074544A">
              <w:rPr>
                <w:sz w:val="15"/>
                <w:szCs w:val="15"/>
                <w:lang w:val="en-US"/>
              </w:rPr>
              <w:t xml:space="preserve"> </w:t>
            </w:r>
            <w:r w:rsidRPr="0074544A">
              <w:rPr>
                <w:sz w:val="15"/>
                <w:szCs w:val="15"/>
                <w:lang w:val="en-US"/>
              </w:rPr>
              <w:t>monopoly</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Private insurers</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Public monopoly – private insurers from 1/7/16</w:t>
            </w:r>
          </w:p>
        </w:tc>
        <w:tc>
          <w:tcPr>
            <w:tcW w:w="539" w:type="pct"/>
          </w:tcPr>
          <w:p w:rsidR="005B7114" w:rsidRPr="0074544A" w:rsidRDefault="00553268" w:rsidP="004031EB">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Public monopoly</w:t>
            </w:r>
          </w:p>
        </w:tc>
        <w:tc>
          <w:tcPr>
            <w:tcW w:w="549" w:type="pct"/>
          </w:tcPr>
          <w:p w:rsidR="005B7114" w:rsidRPr="0074544A" w:rsidRDefault="00553268"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Private insurers</w:t>
            </w:r>
          </w:p>
        </w:tc>
        <w:tc>
          <w:tcPr>
            <w:tcW w:w="538" w:type="pct"/>
          </w:tcPr>
          <w:p w:rsidR="005B7114" w:rsidRPr="0074544A" w:rsidRDefault="004031EB"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Public monopoly</w:t>
            </w:r>
          </w:p>
        </w:tc>
      </w:tr>
      <w:tr w:rsidR="0029772F" w:rsidRPr="0074544A" w:rsidTr="00240484">
        <w:trPr>
          <w:trHeight w:val="60"/>
        </w:trPr>
        <w:tc>
          <w:tcPr>
            <w:cnfStyle w:val="001000000000" w:firstRow="0" w:lastRow="0" w:firstColumn="1" w:lastColumn="0" w:oddVBand="0" w:evenVBand="0" w:oddHBand="0" w:evenHBand="0" w:firstRowFirstColumn="0" w:firstRowLastColumn="0" w:lastRowFirstColumn="0" w:lastRowLastColumn="0"/>
            <w:tcW w:w="623" w:type="pct"/>
          </w:tcPr>
          <w:p w:rsidR="005B7114" w:rsidRPr="0074544A" w:rsidRDefault="005B7114" w:rsidP="005B7114">
            <w:pPr>
              <w:pStyle w:val="TableColumn"/>
              <w:rPr>
                <w:sz w:val="15"/>
                <w:szCs w:val="15"/>
              </w:rPr>
            </w:pPr>
            <w:r w:rsidRPr="0074544A">
              <w:rPr>
                <w:sz w:val="15"/>
                <w:szCs w:val="15"/>
              </w:rPr>
              <w:t>Benefit Mechanism</w:t>
            </w:r>
          </w:p>
        </w:tc>
        <w:tc>
          <w:tcPr>
            <w:tcW w:w="59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Lump sum payments</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Defined benefits</w:t>
            </w:r>
          </w:p>
        </w:tc>
        <w:tc>
          <w:tcPr>
            <w:tcW w:w="53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Defined benefits</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Lump sum payments</w:t>
            </w:r>
          </w:p>
        </w:tc>
        <w:tc>
          <w:tcPr>
            <w:tcW w:w="538" w:type="pct"/>
          </w:tcPr>
          <w:p w:rsidR="005B7114" w:rsidRPr="0074544A" w:rsidRDefault="00553268"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Lump sum payments</w:t>
            </w:r>
          </w:p>
        </w:tc>
        <w:tc>
          <w:tcPr>
            <w:tcW w:w="539" w:type="pct"/>
          </w:tcPr>
          <w:p w:rsidR="005B7114" w:rsidRPr="0074544A" w:rsidRDefault="00553268"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Lump sum payments</w:t>
            </w:r>
          </w:p>
        </w:tc>
        <w:tc>
          <w:tcPr>
            <w:tcW w:w="549" w:type="pct"/>
          </w:tcPr>
          <w:p w:rsidR="005B7114" w:rsidRPr="0074544A" w:rsidRDefault="00553268"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Lump sum payments</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Defined benefits</w:t>
            </w:r>
          </w:p>
        </w:tc>
      </w:tr>
      <w:tr w:rsidR="0029772F" w:rsidRPr="0074544A" w:rsidTr="00240484">
        <w:trPr>
          <w:trHeight w:val="60"/>
        </w:trPr>
        <w:tc>
          <w:tcPr>
            <w:cnfStyle w:val="001000000000" w:firstRow="0" w:lastRow="0" w:firstColumn="1" w:lastColumn="0" w:oddVBand="0" w:evenVBand="0" w:oddHBand="0" w:evenHBand="0" w:firstRowFirstColumn="0" w:firstRowLastColumn="0" w:lastRowFirstColumn="0" w:lastRowLastColumn="0"/>
            <w:tcW w:w="623" w:type="pct"/>
          </w:tcPr>
          <w:p w:rsidR="005B7114" w:rsidRPr="0074544A" w:rsidRDefault="005B7114" w:rsidP="005B7114">
            <w:pPr>
              <w:pStyle w:val="TableColumn"/>
              <w:rPr>
                <w:sz w:val="15"/>
                <w:szCs w:val="15"/>
              </w:rPr>
            </w:pPr>
            <w:r w:rsidRPr="0074544A">
              <w:rPr>
                <w:sz w:val="15"/>
                <w:szCs w:val="15"/>
              </w:rPr>
              <w:t>Common law (court) access</w:t>
            </w:r>
          </w:p>
        </w:tc>
        <w:tc>
          <w:tcPr>
            <w:tcW w:w="59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w:t>
            </w:r>
          </w:p>
        </w:tc>
        <w:tc>
          <w:tcPr>
            <w:tcW w:w="538" w:type="pct"/>
          </w:tcPr>
          <w:p w:rsidR="005B7114" w:rsidRPr="0074544A" w:rsidRDefault="005B7114" w:rsidP="00553268">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 – serious injury only</w:t>
            </w:r>
          </w:p>
        </w:tc>
        <w:tc>
          <w:tcPr>
            <w:tcW w:w="53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w:t>
            </w:r>
          </w:p>
        </w:tc>
        <w:tc>
          <w:tcPr>
            <w:tcW w:w="53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w:t>
            </w:r>
          </w:p>
        </w:tc>
        <w:tc>
          <w:tcPr>
            <w:tcW w:w="54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No</w:t>
            </w:r>
          </w:p>
        </w:tc>
      </w:tr>
      <w:tr w:rsidR="0029772F" w:rsidRPr="0074544A" w:rsidTr="00240484">
        <w:trPr>
          <w:trHeight w:val="60"/>
        </w:trPr>
        <w:tc>
          <w:tcPr>
            <w:cnfStyle w:val="001000000000" w:firstRow="0" w:lastRow="0" w:firstColumn="1" w:lastColumn="0" w:oddVBand="0" w:evenVBand="0" w:oddHBand="0" w:evenHBand="0" w:firstRowFirstColumn="0" w:firstRowLastColumn="0" w:lastRowFirstColumn="0" w:lastRowLastColumn="0"/>
            <w:tcW w:w="623" w:type="pct"/>
          </w:tcPr>
          <w:p w:rsidR="005B7114" w:rsidRPr="0074544A" w:rsidRDefault="005B7114" w:rsidP="005B7114">
            <w:pPr>
              <w:pStyle w:val="TableColumn"/>
              <w:rPr>
                <w:sz w:val="15"/>
                <w:szCs w:val="15"/>
              </w:rPr>
            </w:pPr>
            <w:r w:rsidRPr="0074544A">
              <w:rPr>
                <w:sz w:val="15"/>
                <w:szCs w:val="15"/>
              </w:rPr>
              <w:t>Are no-fault benefits available to the severely injured?</w:t>
            </w:r>
          </w:p>
        </w:tc>
        <w:tc>
          <w:tcPr>
            <w:tcW w:w="59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 – by Lifetime Care and Support Authority</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w:t>
            </w:r>
          </w:p>
        </w:tc>
        <w:tc>
          <w:tcPr>
            <w:tcW w:w="53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 – from 1 July 2016</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w:t>
            </w:r>
          </w:p>
        </w:tc>
        <w:tc>
          <w:tcPr>
            <w:tcW w:w="53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 – from 1 July 2016</w:t>
            </w:r>
          </w:p>
        </w:tc>
        <w:tc>
          <w:tcPr>
            <w:tcW w:w="54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w:t>
            </w:r>
          </w:p>
        </w:tc>
      </w:tr>
      <w:tr w:rsidR="0029772F" w:rsidRPr="0074544A" w:rsidTr="00240484">
        <w:trPr>
          <w:trHeight w:val="60"/>
        </w:trPr>
        <w:tc>
          <w:tcPr>
            <w:cnfStyle w:val="001000000000" w:firstRow="0" w:lastRow="0" w:firstColumn="1" w:lastColumn="0" w:oddVBand="0" w:evenVBand="0" w:oddHBand="0" w:evenHBand="0" w:firstRowFirstColumn="0" w:firstRowLastColumn="0" w:lastRowFirstColumn="0" w:lastRowLastColumn="0"/>
            <w:tcW w:w="623" w:type="pct"/>
          </w:tcPr>
          <w:p w:rsidR="005B7114" w:rsidRPr="0074544A" w:rsidRDefault="005B7114" w:rsidP="005B7114">
            <w:pPr>
              <w:pStyle w:val="TableColumn"/>
              <w:rPr>
                <w:sz w:val="15"/>
                <w:szCs w:val="15"/>
              </w:rPr>
            </w:pPr>
            <w:r w:rsidRPr="0074544A">
              <w:rPr>
                <w:sz w:val="15"/>
                <w:szCs w:val="15"/>
              </w:rPr>
              <w:t>Are no-fault medical and rehabilitation benefits available?</w:t>
            </w:r>
          </w:p>
        </w:tc>
        <w:tc>
          <w:tcPr>
            <w:tcW w:w="598" w:type="pct"/>
          </w:tcPr>
          <w:p w:rsidR="005B7114" w:rsidRPr="0074544A" w:rsidRDefault="005B7114" w:rsidP="004031EB">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 xml:space="preserve">Limited – everyone can claim up to $5,000 within </w:t>
            </w:r>
            <w:r w:rsidR="004031EB" w:rsidRPr="0074544A">
              <w:rPr>
                <w:sz w:val="15"/>
                <w:szCs w:val="15"/>
                <w:lang w:val="en-US"/>
              </w:rPr>
              <w:t>6</w:t>
            </w:r>
            <w:r w:rsidRPr="0074544A">
              <w:rPr>
                <w:sz w:val="15"/>
                <w:szCs w:val="15"/>
                <w:lang w:val="en-US"/>
              </w:rPr>
              <w:t xml:space="preserve"> months of accident under the Accident Notification Form (ANF)</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 -reasonable cost of medical, treatment and rehab services once a medical excess of $623 reached</w:t>
            </w:r>
          </w:p>
        </w:tc>
        <w:tc>
          <w:tcPr>
            <w:tcW w:w="53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 – capped at $400,000 or unlimited if more than 2 hours a day care is required</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N/A</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Limited –medical and treatment costs for children under 16 provided irrespective of fault</w:t>
            </w:r>
          </w:p>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p>
        </w:tc>
        <w:tc>
          <w:tcPr>
            <w:tcW w:w="53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Limited - emergency public hospital treatment and transport costs provided irrespective of fault</w:t>
            </w:r>
          </w:p>
        </w:tc>
        <w:tc>
          <w:tcPr>
            <w:tcW w:w="549" w:type="pct"/>
          </w:tcPr>
          <w:p w:rsidR="005B7114" w:rsidRPr="0074544A" w:rsidRDefault="004031EB" w:rsidP="004031EB">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N/A</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 – reasonable and necessary costs</w:t>
            </w:r>
          </w:p>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p>
        </w:tc>
      </w:tr>
      <w:tr w:rsidR="0029772F" w:rsidRPr="0074544A" w:rsidTr="00240484">
        <w:trPr>
          <w:trHeight w:val="60"/>
        </w:trPr>
        <w:tc>
          <w:tcPr>
            <w:cnfStyle w:val="001000000000" w:firstRow="0" w:lastRow="0" w:firstColumn="1" w:lastColumn="0" w:oddVBand="0" w:evenVBand="0" w:oddHBand="0" w:evenHBand="0" w:firstRowFirstColumn="0" w:firstRowLastColumn="0" w:lastRowFirstColumn="0" w:lastRowLastColumn="0"/>
            <w:tcW w:w="623" w:type="pct"/>
          </w:tcPr>
          <w:p w:rsidR="005B7114" w:rsidRPr="0074544A" w:rsidRDefault="005B7114" w:rsidP="005B7114">
            <w:pPr>
              <w:pStyle w:val="TableColumn"/>
              <w:rPr>
                <w:sz w:val="15"/>
                <w:szCs w:val="15"/>
              </w:rPr>
            </w:pPr>
            <w:r w:rsidRPr="0074544A">
              <w:rPr>
                <w:sz w:val="15"/>
                <w:szCs w:val="15"/>
              </w:rPr>
              <w:t>Are no-fault income benefits available?</w:t>
            </w:r>
          </w:p>
        </w:tc>
        <w:tc>
          <w:tcPr>
            <w:tcW w:w="59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Limited - under the ANF, payment for lost earnings can be made after treatment expenses have been paid</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 xml:space="preserve">Yes - 80% of earnings up to $1,250 per week, in the first 18 months after the accident. First 5 days not covered </w:t>
            </w:r>
          </w:p>
        </w:tc>
        <w:tc>
          <w:tcPr>
            <w:tcW w:w="539"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 - 80% of earnings, up to 3 times average weekly earnings ($3,867.90 gross), for 2 years (usual work) or 5 years (any work). First 7 days not covered</w:t>
            </w:r>
          </w:p>
        </w:tc>
        <w:tc>
          <w:tcPr>
            <w:tcW w:w="538" w:type="pct"/>
          </w:tcPr>
          <w:p w:rsidR="005B7114" w:rsidRPr="0074544A" w:rsidRDefault="005B7114" w:rsidP="005B7114">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N/A</w:t>
            </w:r>
          </w:p>
        </w:tc>
        <w:tc>
          <w:tcPr>
            <w:tcW w:w="538" w:type="pct"/>
          </w:tcPr>
          <w:p w:rsidR="005B7114" w:rsidRPr="0074544A" w:rsidRDefault="004031EB" w:rsidP="004031EB">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N/A</w:t>
            </w:r>
          </w:p>
        </w:tc>
        <w:tc>
          <w:tcPr>
            <w:tcW w:w="539" w:type="pct"/>
          </w:tcPr>
          <w:p w:rsidR="005B7114" w:rsidRPr="0074544A" w:rsidRDefault="005B7114" w:rsidP="004031EB">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N/A</w:t>
            </w:r>
          </w:p>
        </w:tc>
        <w:tc>
          <w:tcPr>
            <w:tcW w:w="549" w:type="pct"/>
          </w:tcPr>
          <w:p w:rsidR="005B7114" w:rsidRPr="0074544A" w:rsidRDefault="005B7114" w:rsidP="004031EB">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N/A</w:t>
            </w:r>
          </w:p>
        </w:tc>
        <w:tc>
          <w:tcPr>
            <w:tcW w:w="538" w:type="pct"/>
          </w:tcPr>
          <w:p w:rsidR="005B7114" w:rsidRPr="0074544A" w:rsidRDefault="005B7114" w:rsidP="00157F4F">
            <w:pPr>
              <w:pStyle w:val="TableText"/>
              <w:cnfStyle w:val="000000000000" w:firstRow="0" w:lastRow="0" w:firstColumn="0" w:lastColumn="0" w:oddVBand="0" w:evenVBand="0" w:oddHBand="0" w:evenHBand="0" w:firstRowFirstColumn="0" w:firstRowLastColumn="0" w:lastRowFirstColumn="0" w:lastRowLastColumn="0"/>
              <w:rPr>
                <w:sz w:val="15"/>
                <w:szCs w:val="15"/>
                <w:lang w:val="en-US"/>
              </w:rPr>
            </w:pPr>
            <w:r w:rsidRPr="0074544A">
              <w:rPr>
                <w:sz w:val="15"/>
                <w:szCs w:val="15"/>
                <w:lang w:val="en-US"/>
              </w:rPr>
              <w:t>Yes – 85% of Northern Territory average weekly earnings (currently $1,510.90 gross), up to 65 years</w:t>
            </w:r>
          </w:p>
        </w:tc>
      </w:tr>
    </w:tbl>
    <w:p w:rsidR="0041700B" w:rsidRDefault="0041700B">
      <w:pPr>
        <w:adjustRightInd/>
        <w:snapToGrid/>
        <w:spacing w:after="0" w:line="240" w:lineRule="auto"/>
      </w:pPr>
      <w:r>
        <w:br w:type="page"/>
      </w:r>
    </w:p>
    <w:p w:rsidR="0041700B" w:rsidRDefault="0041700B" w:rsidP="003A781A">
      <w:pPr>
        <w:pStyle w:val="SectionHeadingNonToC"/>
        <w:framePr w:wrap="around"/>
      </w:pPr>
      <w:r w:rsidRPr="0041700B">
        <w:lastRenderedPageBreak/>
        <w:t>Appendix: Comparison of schemes around Australia</w:t>
      </w:r>
    </w:p>
    <w:tbl>
      <w:tblPr>
        <w:tblStyle w:val="SIRATable"/>
        <w:tblW w:w="0" w:type="auto"/>
        <w:tblLayout w:type="fixed"/>
        <w:tblLook w:val="00A0" w:firstRow="1" w:lastRow="0" w:firstColumn="1" w:lastColumn="0" w:noHBand="0" w:noVBand="0"/>
        <w:tblCaption w:val="Comparison of schemes table"/>
      </w:tblPr>
      <w:tblGrid>
        <w:gridCol w:w="1218"/>
        <w:gridCol w:w="1190"/>
        <w:gridCol w:w="1078"/>
        <w:gridCol w:w="1050"/>
        <w:gridCol w:w="1217"/>
        <w:gridCol w:w="1186"/>
        <w:gridCol w:w="1194"/>
        <w:gridCol w:w="1021"/>
        <w:gridCol w:w="1107"/>
      </w:tblGrid>
      <w:tr w:rsidR="000E69BE" w:rsidRPr="0074544A" w:rsidTr="00D72E2C">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18" w:type="dxa"/>
          </w:tcPr>
          <w:p w:rsidR="0041700B" w:rsidRPr="0074544A" w:rsidRDefault="0041700B" w:rsidP="0041700B">
            <w:pPr>
              <w:pStyle w:val="TableHeading"/>
              <w:rPr>
                <w:rFonts w:eastAsia="SimSun"/>
                <w:sz w:val="15"/>
                <w:szCs w:val="15"/>
              </w:rPr>
            </w:pPr>
          </w:p>
        </w:tc>
        <w:tc>
          <w:tcPr>
            <w:tcW w:w="1190" w:type="dxa"/>
          </w:tcPr>
          <w:p w:rsidR="0041700B" w:rsidRPr="0074544A" w:rsidRDefault="0041700B" w:rsidP="0041700B">
            <w:pPr>
              <w:pStyle w:val="TableHeading"/>
              <w:cnfStyle w:val="100000000000" w:firstRow="1" w:lastRow="0" w:firstColumn="0" w:lastColumn="0" w:oddVBand="0" w:evenVBand="0" w:oddHBand="0" w:evenHBand="0" w:firstRowFirstColumn="0" w:firstRowLastColumn="0" w:lastRowFirstColumn="0" w:lastRowLastColumn="0"/>
              <w:rPr>
                <w:rFonts w:eastAsia="SimSun" w:cs="Arial"/>
                <w:color w:val="000000"/>
                <w:sz w:val="15"/>
                <w:szCs w:val="15"/>
                <w:lang w:val="en-US" w:eastAsia="en-GB"/>
              </w:rPr>
            </w:pPr>
            <w:r w:rsidRPr="0074544A">
              <w:rPr>
                <w:rFonts w:eastAsia="SimSun" w:cs="Gotham Medium"/>
                <w:w w:val="90"/>
                <w:sz w:val="15"/>
                <w:szCs w:val="15"/>
                <w:lang w:val="en-US" w:eastAsia="en-GB"/>
              </w:rPr>
              <w:t>NSW</w:t>
            </w:r>
          </w:p>
        </w:tc>
        <w:tc>
          <w:tcPr>
            <w:tcW w:w="1078" w:type="dxa"/>
          </w:tcPr>
          <w:p w:rsidR="0041700B" w:rsidRPr="0074544A" w:rsidRDefault="0041700B" w:rsidP="0041700B">
            <w:pPr>
              <w:pStyle w:val="TableHeading"/>
              <w:cnfStyle w:val="100000000000" w:firstRow="1" w:lastRow="0" w:firstColumn="0" w:lastColumn="0" w:oddVBand="0" w:evenVBand="0" w:oddHBand="0" w:evenHBand="0" w:firstRowFirstColumn="0" w:firstRowLastColumn="0" w:lastRowFirstColumn="0" w:lastRowLastColumn="0"/>
              <w:rPr>
                <w:rFonts w:eastAsia="SimSun" w:cs="Arial"/>
                <w:color w:val="000000"/>
                <w:sz w:val="15"/>
                <w:szCs w:val="15"/>
                <w:lang w:val="en-US" w:eastAsia="en-GB"/>
              </w:rPr>
            </w:pPr>
            <w:r w:rsidRPr="0074544A">
              <w:rPr>
                <w:rFonts w:eastAsia="SimSun" w:cs="Gotham Medium"/>
                <w:w w:val="90"/>
                <w:sz w:val="15"/>
                <w:szCs w:val="15"/>
                <w:lang w:val="en-US" w:eastAsia="en-GB"/>
              </w:rPr>
              <w:t>VIC</w:t>
            </w:r>
          </w:p>
        </w:tc>
        <w:tc>
          <w:tcPr>
            <w:tcW w:w="1050" w:type="dxa"/>
          </w:tcPr>
          <w:p w:rsidR="0041700B" w:rsidRPr="0074544A" w:rsidRDefault="0041700B" w:rsidP="0041700B">
            <w:pPr>
              <w:pStyle w:val="TableHeading"/>
              <w:cnfStyle w:val="100000000000" w:firstRow="1" w:lastRow="0" w:firstColumn="0" w:lastColumn="0" w:oddVBand="0" w:evenVBand="0" w:oddHBand="0" w:evenHBand="0" w:firstRowFirstColumn="0" w:firstRowLastColumn="0" w:lastRowFirstColumn="0" w:lastRowLastColumn="0"/>
              <w:rPr>
                <w:rFonts w:eastAsia="SimSun" w:cs="Arial"/>
                <w:color w:val="000000"/>
                <w:sz w:val="15"/>
                <w:szCs w:val="15"/>
                <w:lang w:val="en-US" w:eastAsia="en-GB"/>
              </w:rPr>
            </w:pPr>
            <w:r w:rsidRPr="0074544A">
              <w:rPr>
                <w:rFonts w:eastAsia="SimSun" w:cs="Gotham Medium"/>
                <w:w w:val="90"/>
                <w:sz w:val="15"/>
                <w:szCs w:val="15"/>
                <w:lang w:val="en-US" w:eastAsia="en-GB"/>
              </w:rPr>
              <w:t>TAS</w:t>
            </w:r>
          </w:p>
        </w:tc>
        <w:tc>
          <w:tcPr>
            <w:tcW w:w="1217" w:type="dxa"/>
          </w:tcPr>
          <w:p w:rsidR="0041700B" w:rsidRPr="0074544A" w:rsidRDefault="0041700B" w:rsidP="0041700B">
            <w:pPr>
              <w:pStyle w:val="TableHeading"/>
              <w:cnfStyle w:val="100000000000" w:firstRow="1" w:lastRow="0" w:firstColumn="0" w:lastColumn="0" w:oddVBand="0" w:evenVBand="0" w:oddHBand="0" w:evenHBand="0" w:firstRowFirstColumn="0" w:firstRowLastColumn="0" w:lastRowFirstColumn="0" w:lastRowLastColumn="0"/>
              <w:rPr>
                <w:rFonts w:eastAsia="SimSun" w:cs="Arial"/>
                <w:color w:val="000000"/>
                <w:sz w:val="15"/>
                <w:szCs w:val="15"/>
                <w:lang w:val="en-US" w:eastAsia="en-GB"/>
              </w:rPr>
            </w:pPr>
            <w:r w:rsidRPr="0074544A">
              <w:rPr>
                <w:rFonts w:eastAsia="SimSun" w:cs="Gotham Medium"/>
                <w:w w:val="90"/>
                <w:sz w:val="15"/>
                <w:szCs w:val="15"/>
                <w:lang w:val="en-US" w:eastAsia="en-GB"/>
              </w:rPr>
              <w:t>QLD</w:t>
            </w:r>
          </w:p>
        </w:tc>
        <w:tc>
          <w:tcPr>
            <w:tcW w:w="1186" w:type="dxa"/>
          </w:tcPr>
          <w:p w:rsidR="0041700B" w:rsidRPr="0074544A" w:rsidRDefault="0041700B" w:rsidP="0041700B">
            <w:pPr>
              <w:pStyle w:val="TableHeading"/>
              <w:cnfStyle w:val="100000000000" w:firstRow="1" w:lastRow="0" w:firstColumn="0" w:lastColumn="0" w:oddVBand="0" w:evenVBand="0" w:oddHBand="0" w:evenHBand="0" w:firstRowFirstColumn="0" w:firstRowLastColumn="0" w:lastRowFirstColumn="0" w:lastRowLastColumn="0"/>
              <w:rPr>
                <w:rFonts w:eastAsia="SimSun" w:cs="Arial"/>
                <w:color w:val="000000"/>
                <w:sz w:val="15"/>
                <w:szCs w:val="15"/>
                <w:lang w:val="en-US" w:eastAsia="en-GB"/>
              </w:rPr>
            </w:pPr>
            <w:r w:rsidRPr="0074544A">
              <w:rPr>
                <w:rFonts w:eastAsia="SimSun" w:cs="Gotham Medium"/>
                <w:sz w:val="15"/>
                <w:szCs w:val="15"/>
                <w:lang w:val="en-US" w:eastAsia="en-GB"/>
              </w:rPr>
              <w:t>SA</w:t>
            </w:r>
          </w:p>
        </w:tc>
        <w:tc>
          <w:tcPr>
            <w:tcW w:w="1194" w:type="dxa"/>
          </w:tcPr>
          <w:p w:rsidR="0041700B" w:rsidRPr="0074544A" w:rsidRDefault="0041700B" w:rsidP="0041700B">
            <w:pPr>
              <w:pStyle w:val="TableHeading"/>
              <w:cnfStyle w:val="100000000000" w:firstRow="1" w:lastRow="0" w:firstColumn="0" w:lastColumn="0" w:oddVBand="0" w:evenVBand="0" w:oddHBand="0" w:evenHBand="0" w:firstRowFirstColumn="0" w:firstRowLastColumn="0" w:lastRowFirstColumn="0" w:lastRowLastColumn="0"/>
              <w:rPr>
                <w:rFonts w:eastAsia="SimSun" w:cs="Arial"/>
                <w:color w:val="000000"/>
                <w:sz w:val="15"/>
                <w:szCs w:val="15"/>
                <w:lang w:val="en-US" w:eastAsia="en-GB"/>
              </w:rPr>
            </w:pPr>
            <w:r w:rsidRPr="0074544A">
              <w:rPr>
                <w:rFonts w:eastAsia="SimSun" w:cs="Gotham Medium"/>
                <w:sz w:val="15"/>
                <w:szCs w:val="15"/>
                <w:lang w:val="en-US" w:eastAsia="en-GB"/>
              </w:rPr>
              <w:t>WA</w:t>
            </w:r>
          </w:p>
        </w:tc>
        <w:tc>
          <w:tcPr>
            <w:tcW w:w="1021" w:type="dxa"/>
          </w:tcPr>
          <w:p w:rsidR="0041700B" w:rsidRPr="0074544A" w:rsidRDefault="0041700B" w:rsidP="0041700B">
            <w:pPr>
              <w:pStyle w:val="TableHeading"/>
              <w:cnfStyle w:val="100000000000" w:firstRow="1" w:lastRow="0" w:firstColumn="0" w:lastColumn="0" w:oddVBand="0" w:evenVBand="0" w:oddHBand="0" w:evenHBand="0" w:firstRowFirstColumn="0" w:firstRowLastColumn="0" w:lastRowFirstColumn="0" w:lastRowLastColumn="0"/>
              <w:rPr>
                <w:rFonts w:eastAsia="SimSun" w:cs="Arial"/>
                <w:color w:val="000000"/>
                <w:sz w:val="15"/>
                <w:szCs w:val="15"/>
                <w:lang w:val="en-US" w:eastAsia="en-GB"/>
              </w:rPr>
            </w:pPr>
            <w:r w:rsidRPr="0074544A">
              <w:rPr>
                <w:rFonts w:eastAsia="SimSun" w:cs="Gotham Medium"/>
                <w:sz w:val="15"/>
                <w:szCs w:val="15"/>
                <w:lang w:val="en-US" w:eastAsia="en-GB"/>
              </w:rPr>
              <w:t>ACT</w:t>
            </w:r>
          </w:p>
        </w:tc>
        <w:tc>
          <w:tcPr>
            <w:tcW w:w="1107" w:type="dxa"/>
          </w:tcPr>
          <w:p w:rsidR="0041700B" w:rsidRPr="0074544A" w:rsidRDefault="0041700B" w:rsidP="0041700B">
            <w:pPr>
              <w:pStyle w:val="TableHeading"/>
              <w:cnfStyle w:val="100000000000" w:firstRow="1" w:lastRow="0" w:firstColumn="0" w:lastColumn="0" w:oddVBand="0" w:evenVBand="0" w:oddHBand="0" w:evenHBand="0" w:firstRowFirstColumn="0" w:firstRowLastColumn="0" w:lastRowFirstColumn="0" w:lastRowLastColumn="0"/>
              <w:rPr>
                <w:rFonts w:eastAsia="SimSun" w:cs="Arial"/>
                <w:color w:val="000000"/>
                <w:sz w:val="15"/>
                <w:szCs w:val="15"/>
                <w:lang w:val="en-US" w:eastAsia="en-GB"/>
              </w:rPr>
            </w:pPr>
            <w:r w:rsidRPr="0074544A">
              <w:rPr>
                <w:rFonts w:eastAsia="SimSun" w:cs="Gotham Medium"/>
                <w:sz w:val="15"/>
                <w:szCs w:val="15"/>
                <w:lang w:val="en-US" w:eastAsia="en-GB"/>
              </w:rPr>
              <w:t>NT</w:t>
            </w:r>
          </w:p>
        </w:tc>
      </w:tr>
      <w:tr w:rsidR="000E69BE" w:rsidRPr="0074544A" w:rsidTr="0042026D">
        <w:trPr>
          <w:trHeight w:val="60"/>
        </w:trPr>
        <w:tc>
          <w:tcPr>
            <w:cnfStyle w:val="001000000000" w:firstRow="0" w:lastRow="0" w:firstColumn="1" w:lastColumn="0" w:oddVBand="0" w:evenVBand="0" w:oddHBand="0" w:evenHBand="0" w:firstRowFirstColumn="0" w:firstRowLastColumn="0" w:lastRowFirstColumn="0" w:lastRowLastColumn="0"/>
            <w:tcW w:w="1218" w:type="dxa"/>
          </w:tcPr>
          <w:p w:rsidR="0041700B" w:rsidRPr="0074544A" w:rsidRDefault="0041700B" w:rsidP="0041700B">
            <w:pPr>
              <w:pStyle w:val="TableHeading"/>
              <w:rPr>
                <w:rFonts w:eastAsia="SimSun"/>
                <w:color w:val="000000"/>
                <w:sz w:val="15"/>
                <w:szCs w:val="15"/>
                <w:lang w:val="en-US"/>
              </w:rPr>
            </w:pPr>
            <w:r w:rsidRPr="0074544A">
              <w:rPr>
                <w:rFonts w:eastAsia="SimSun" w:cs="Gotham Medium"/>
                <w:w w:val="90"/>
                <w:sz w:val="15"/>
                <w:szCs w:val="15"/>
                <w:lang w:val="en-US"/>
              </w:rPr>
              <w:t>Is past or future economic loss capped or restricted under common law?</w:t>
            </w:r>
          </w:p>
        </w:tc>
        <w:tc>
          <w:tcPr>
            <w:tcW w:w="1190"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capped at $4,688 per week net ($7,812 gross) may be paid indefinitely.</w:t>
            </w:r>
          </w:p>
        </w:tc>
        <w:tc>
          <w:tcPr>
            <w:tcW w:w="1078"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capped at $1,166,240 and not available if assessed at less than $51,800</w:t>
            </w:r>
          </w:p>
        </w:tc>
        <w:tc>
          <w:tcPr>
            <w:tcW w:w="1050"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capped at 3 times average weekly earnings in Tasmania (currently $3,867.90 gross)</w:t>
            </w:r>
          </w:p>
        </w:tc>
        <w:tc>
          <w:tcPr>
            <w:tcW w:w="1217"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capped at 3 times average weekly earnings in Queensland (currently $4340.10 gross)</w:t>
            </w:r>
          </w:p>
        </w:tc>
        <w:tc>
          <w:tcPr>
            <w:tcW w:w="1186"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future economic loss available when an injury exceeds 7 points on the Injury Scale Values (ISV) scale</w:t>
            </w:r>
          </w:p>
        </w:tc>
        <w:tc>
          <w:tcPr>
            <w:tcW w:w="1194"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capped at 3 times average weekly earnings in WA (currently $5,076.90 gross)</w:t>
            </w:r>
          </w:p>
        </w:tc>
        <w:tc>
          <w:tcPr>
            <w:tcW w:w="1021"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No</w:t>
            </w:r>
          </w:p>
        </w:tc>
        <w:tc>
          <w:tcPr>
            <w:tcW w:w="1107"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N/A</w:t>
            </w:r>
          </w:p>
        </w:tc>
      </w:tr>
      <w:tr w:rsidR="000E69BE" w:rsidRPr="0074544A" w:rsidTr="0042026D">
        <w:trPr>
          <w:trHeight w:val="60"/>
        </w:trPr>
        <w:tc>
          <w:tcPr>
            <w:cnfStyle w:val="001000000000" w:firstRow="0" w:lastRow="0" w:firstColumn="1" w:lastColumn="0" w:oddVBand="0" w:evenVBand="0" w:oddHBand="0" w:evenHBand="0" w:firstRowFirstColumn="0" w:firstRowLastColumn="0" w:lastRowFirstColumn="0" w:lastRowLastColumn="0"/>
            <w:tcW w:w="1218" w:type="dxa"/>
          </w:tcPr>
          <w:p w:rsidR="0041700B" w:rsidRPr="0074544A" w:rsidRDefault="0041700B" w:rsidP="0041700B">
            <w:pPr>
              <w:pStyle w:val="TableHeading"/>
              <w:rPr>
                <w:rFonts w:eastAsia="SimSun"/>
                <w:color w:val="000000"/>
                <w:sz w:val="15"/>
                <w:szCs w:val="15"/>
                <w:lang w:val="en-US"/>
              </w:rPr>
            </w:pPr>
            <w:r w:rsidRPr="0074544A">
              <w:rPr>
                <w:rFonts w:eastAsia="SimSun" w:cs="Gotham Medium"/>
                <w:w w:val="90"/>
                <w:sz w:val="15"/>
                <w:szCs w:val="15"/>
                <w:lang w:val="en-US"/>
              </w:rPr>
              <w:t>Are no-fault lump sum impairment benefits available?</w:t>
            </w:r>
          </w:p>
        </w:tc>
        <w:tc>
          <w:tcPr>
            <w:tcW w:w="1190"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N/A</w:t>
            </w:r>
          </w:p>
        </w:tc>
        <w:tc>
          <w:tcPr>
            <w:tcW w:w="1078"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 xml:space="preserve">Yes - available if greater than 10% impairment, sliding scale from $7,310 to maximum of $333,630 </w:t>
            </w:r>
          </w:p>
        </w:tc>
        <w:tc>
          <w:tcPr>
            <w:tcW w:w="1050"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No</w:t>
            </w:r>
          </w:p>
        </w:tc>
        <w:tc>
          <w:tcPr>
            <w:tcW w:w="1217"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N/A</w:t>
            </w:r>
          </w:p>
        </w:tc>
        <w:tc>
          <w:tcPr>
            <w:tcW w:w="1186"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N/A</w:t>
            </w:r>
          </w:p>
        </w:tc>
        <w:tc>
          <w:tcPr>
            <w:tcW w:w="1194"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N/A</w:t>
            </w:r>
          </w:p>
        </w:tc>
        <w:tc>
          <w:tcPr>
            <w:tcW w:w="1021"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N/A</w:t>
            </w:r>
          </w:p>
        </w:tc>
        <w:tc>
          <w:tcPr>
            <w:tcW w:w="1107"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available if greater than 5% whole person impairment, capped at $294,770</w:t>
            </w:r>
          </w:p>
        </w:tc>
      </w:tr>
      <w:tr w:rsidR="000E69BE" w:rsidRPr="0074544A" w:rsidTr="0042026D">
        <w:trPr>
          <w:trHeight w:val="60"/>
        </w:trPr>
        <w:tc>
          <w:tcPr>
            <w:cnfStyle w:val="001000000000" w:firstRow="0" w:lastRow="0" w:firstColumn="1" w:lastColumn="0" w:oddVBand="0" w:evenVBand="0" w:oddHBand="0" w:evenHBand="0" w:firstRowFirstColumn="0" w:firstRowLastColumn="0" w:lastRowFirstColumn="0" w:lastRowLastColumn="0"/>
            <w:tcW w:w="1218" w:type="dxa"/>
          </w:tcPr>
          <w:p w:rsidR="0041700B" w:rsidRPr="0074544A" w:rsidRDefault="0041700B" w:rsidP="0041700B">
            <w:pPr>
              <w:pStyle w:val="TableHeading"/>
              <w:rPr>
                <w:rFonts w:eastAsia="SimSun"/>
                <w:color w:val="000000"/>
                <w:sz w:val="15"/>
                <w:szCs w:val="15"/>
                <w:lang w:val="en-US"/>
              </w:rPr>
            </w:pPr>
            <w:r w:rsidRPr="0074544A">
              <w:rPr>
                <w:rFonts w:eastAsia="SimSun" w:cs="Gotham Medium"/>
                <w:w w:val="90"/>
                <w:sz w:val="15"/>
                <w:szCs w:val="15"/>
                <w:lang w:val="en-US"/>
              </w:rPr>
              <w:t xml:space="preserve">Is domestic assistance capped or restricted? </w:t>
            </w:r>
          </w:p>
        </w:tc>
        <w:tc>
          <w:tcPr>
            <w:tcW w:w="1190"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only available if assistance is needed for at least 6 hours per week and for at least 6 consecutive months of the year</w:t>
            </w:r>
          </w:p>
        </w:tc>
        <w:tc>
          <w:tcPr>
            <w:tcW w:w="1078"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Gratuitous care is not recoverable</w:t>
            </w:r>
          </w:p>
        </w:tc>
        <w:tc>
          <w:tcPr>
            <w:tcW w:w="1050" w:type="dxa"/>
          </w:tcPr>
          <w:p w:rsidR="0041700B" w:rsidRPr="0074544A" w:rsidRDefault="0041700B" w:rsidP="0070174D">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gratuitous care only available to the severely injured</w:t>
            </w:r>
          </w:p>
        </w:tc>
        <w:tc>
          <w:tcPr>
            <w:tcW w:w="1217"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only available if assistance is needed for at least 6 hours per week and for at least 6</w:t>
            </w:r>
            <w:r w:rsidR="0070174D" w:rsidRPr="0074544A">
              <w:rPr>
                <w:rFonts w:eastAsia="SimSun"/>
                <w:w w:val="90"/>
                <w:sz w:val="15"/>
                <w:szCs w:val="15"/>
                <w:lang w:val="en-US"/>
              </w:rPr>
              <w:t xml:space="preserve"> consecutive months of the year</w:t>
            </w:r>
          </w:p>
        </w:tc>
        <w:tc>
          <w:tcPr>
            <w:tcW w:w="1186"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if injury exceeds 10 points on the Injury Scales Values (ISV) scale and the services are provided for 6 hours per week for at lea</w:t>
            </w:r>
            <w:r w:rsidR="0070174D" w:rsidRPr="0074544A">
              <w:rPr>
                <w:rFonts w:eastAsia="SimSun"/>
                <w:w w:val="90"/>
                <w:sz w:val="15"/>
                <w:szCs w:val="15"/>
                <w:lang w:val="en-US"/>
              </w:rPr>
              <w:t>st 6 consecutive months</w:t>
            </w:r>
          </w:p>
        </w:tc>
        <w:tc>
          <w:tcPr>
            <w:tcW w:w="1194"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minimum threshold of $5,000 and cap on entitlement to an amount equivalent to average weekly earnings, maximum of 40 hours per week</w:t>
            </w:r>
          </w:p>
        </w:tc>
        <w:tc>
          <w:tcPr>
            <w:tcW w:w="1021"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No</w:t>
            </w:r>
          </w:p>
        </w:tc>
        <w:tc>
          <w:tcPr>
            <w:tcW w:w="1107"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for claims before 1 July 2014, maximum of 32 hours per week. For claims after 1 July 2014, benefits are payable for one year after the date of the motor accident</w:t>
            </w:r>
          </w:p>
        </w:tc>
      </w:tr>
      <w:tr w:rsidR="000E69BE" w:rsidRPr="0074544A" w:rsidTr="0042026D">
        <w:trPr>
          <w:trHeight w:val="60"/>
        </w:trPr>
        <w:tc>
          <w:tcPr>
            <w:cnfStyle w:val="001000000000" w:firstRow="0" w:lastRow="0" w:firstColumn="1" w:lastColumn="0" w:oddVBand="0" w:evenVBand="0" w:oddHBand="0" w:evenHBand="0" w:firstRowFirstColumn="0" w:firstRowLastColumn="0" w:lastRowFirstColumn="0" w:lastRowLastColumn="0"/>
            <w:tcW w:w="1218" w:type="dxa"/>
          </w:tcPr>
          <w:p w:rsidR="0041700B" w:rsidRPr="0074544A" w:rsidRDefault="0041700B" w:rsidP="0041700B">
            <w:pPr>
              <w:pStyle w:val="TableHeading"/>
              <w:rPr>
                <w:rFonts w:eastAsia="SimSun"/>
                <w:color w:val="000000"/>
                <w:sz w:val="15"/>
                <w:szCs w:val="15"/>
                <w:lang w:val="en-US"/>
              </w:rPr>
            </w:pPr>
            <w:r w:rsidRPr="0074544A">
              <w:rPr>
                <w:rFonts w:eastAsia="SimSun" w:cs="Gotham Medium"/>
                <w:w w:val="90"/>
                <w:sz w:val="15"/>
                <w:szCs w:val="15"/>
                <w:lang w:val="en-US"/>
              </w:rPr>
              <w:t>Are payments for non-economic loss (pain and suffering) restricted under common law?</w:t>
            </w:r>
          </w:p>
        </w:tc>
        <w:tc>
          <w:tcPr>
            <w:tcW w:w="1190"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only available if greater than 10% whole person impairment and capped at $511,000</w:t>
            </w:r>
          </w:p>
        </w:tc>
        <w:tc>
          <w:tcPr>
            <w:tcW w:w="1078"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only available if assessed at more than $51,800 and capped at $518,300</w:t>
            </w:r>
          </w:p>
        </w:tc>
        <w:tc>
          <w:tcPr>
            <w:tcW w:w="1050" w:type="dxa"/>
          </w:tcPr>
          <w:p w:rsidR="0041700B" w:rsidRPr="0074544A" w:rsidRDefault="0041700B" w:rsidP="0070174D">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only available if assessed at or above $5,000</w:t>
            </w:r>
            <w:r w:rsidR="0070174D" w:rsidRPr="0074544A">
              <w:rPr>
                <w:rStyle w:val="FootnoteReference"/>
                <w:rFonts w:eastAsia="SimSun"/>
                <w:w w:val="90"/>
                <w:sz w:val="15"/>
                <w:szCs w:val="15"/>
                <w:lang w:val="en-US"/>
              </w:rPr>
              <w:footnoteReference w:id="8"/>
            </w:r>
          </w:p>
        </w:tc>
        <w:tc>
          <w:tcPr>
            <w:tcW w:w="1217"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eastAsia="SimSun"/>
                <w:w w:val="90"/>
                <w:sz w:val="15"/>
                <w:szCs w:val="15"/>
                <w:lang w:val="en-US"/>
              </w:rPr>
            </w:pPr>
            <w:r w:rsidRPr="0074544A">
              <w:rPr>
                <w:rFonts w:eastAsia="SimSun"/>
                <w:w w:val="90"/>
                <w:sz w:val="15"/>
                <w:szCs w:val="15"/>
                <w:lang w:val="en-US"/>
              </w:rPr>
              <w:t>Yes – capped at $350,000</w:t>
            </w:r>
          </w:p>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p>
        </w:tc>
        <w:tc>
          <w:tcPr>
            <w:tcW w:w="1186"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when an injury exceeds 10 points on the Injury Scale Values (ISV) scale. No cap</w:t>
            </w:r>
          </w:p>
        </w:tc>
        <w:tc>
          <w:tcPr>
            <w:tcW w:w="1194" w:type="dxa"/>
          </w:tcPr>
          <w:p w:rsidR="0041700B" w:rsidRPr="0074544A" w:rsidRDefault="0041700B" w:rsidP="0070174D">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capped at $390,000 and not available if assessed at less than $19,500</w:t>
            </w:r>
            <w:r w:rsidR="0070174D" w:rsidRPr="0074544A">
              <w:rPr>
                <w:rStyle w:val="FootnoteReference"/>
                <w:rFonts w:eastAsia="SimSun"/>
                <w:w w:val="90"/>
                <w:sz w:val="15"/>
                <w:szCs w:val="15"/>
                <w:lang w:val="en-US"/>
              </w:rPr>
              <w:footnoteReference w:id="9"/>
            </w:r>
          </w:p>
        </w:tc>
        <w:tc>
          <w:tcPr>
            <w:tcW w:w="1021"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No</w:t>
            </w:r>
          </w:p>
        </w:tc>
        <w:tc>
          <w:tcPr>
            <w:tcW w:w="1107"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N/A</w:t>
            </w:r>
          </w:p>
        </w:tc>
      </w:tr>
      <w:tr w:rsidR="000E69BE" w:rsidRPr="0074544A" w:rsidTr="0042026D">
        <w:trPr>
          <w:trHeight w:val="60"/>
        </w:trPr>
        <w:tc>
          <w:tcPr>
            <w:cnfStyle w:val="001000000000" w:firstRow="0" w:lastRow="0" w:firstColumn="1" w:lastColumn="0" w:oddVBand="0" w:evenVBand="0" w:oddHBand="0" w:evenHBand="0" w:firstRowFirstColumn="0" w:firstRowLastColumn="0" w:lastRowFirstColumn="0" w:lastRowLastColumn="0"/>
            <w:tcW w:w="1218" w:type="dxa"/>
          </w:tcPr>
          <w:p w:rsidR="0041700B" w:rsidRPr="0074544A" w:rsidRDefault="0041700B" w:rsidP="0041700B">
            <w:pPr>
              <w:pStyle w:val="TableHeading"/>
              <w:rPr>
                <w:rFonts w:eastAsia="SimSun"/>
                <w:color w:val="000000"/>
                <w:sz w:val="15"/>
                <w:szCs w:val="15"/>
                <w:lang w:val="en-US"/>
              </w:rPr>
            </w:pPr>
            <w:r w:rsidRPr="0074544A">
              <w:rPr>
                <w:rFonts w:eastAsia="SimSun" w:cs="Gotham Medium"/>
                <w:w w:val="90"/>
                <w:sz w:val="15"/>
                <w:szCs w:val="15"/>
                <w:lang w:val="en-US"/>
              </w:rPr>
              <w:t>Are legal fees capped or restricted?</w:t>
            </w:r>
          </w:p>
        </w:tc>
        <w:tc>
          <w:tcPr>
            <w:tcW w:w="1190"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regulation sets maximum fees however lawyers can ‘contract out’ and charge more than the fixed costs</w:t>
            </w:r>
          </w:p>
        </w:tc>
        <w:tc>
          <w:tcPr>
            <w:tcW w:w="1078"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Court scale</w:t>
            </w:r>
          </w:p>
        </w:tc>
        <w:tc>
          <w:tcPr>
            <w:tcW w:w="1050"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Court scale</w:t>
            </w:r>
          </w:p>
        </w:tc>
        <w:tc>
          <w:tcPr>
            <w:tcW w:w="1217"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claimant’s legal fees not reimbursed if benefit to the claimant is less than $43,020 and limited to $3,600 if the benefit is between $43,020 and $71,730</w:t>
            </w:r>
          </w:p>
        </w:tc>
        <w:tc>
          <w:tcPr>
            <w:tcW w:w="1186"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Court scale</w:t>
            </w:r>
          </w:p>
        </w:tc>
        <w:tc>
          <w:tcPr>
            <w:tcW w:w="1194"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eastAsia="SimSun"/>
                <w:w w:val="90"/>
                <w:sz w:val="15"/>
                <w:szCs w:val="15"/>
                <w:lang w:val="en-US"/>
              </w:rPr>
            </w:pPr>
            <w:r w:rsidRPr="0074544A">
              <w:rPr>
                <w:rFonts w:eastAsia="SimSun"/>
                <w:w w:val="90"/>
                <w:sz w:val="15"/>
                <w:szCs w:val="15"/>
                <w:lang w:val="en-US"/>
              </w:rPr>
              <w:t>Court scale</w:t>
            </w:r>
          </w:p>
        </w:tc>
        <w:tc>
          <w:tcPr>
            <w:tcW w:w="1021"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Yes – if claimant’s legal fees are less than $50,000, a lawyer is not entitled to be paid</w:t>
            </w:r>
          </w:p>
        </w:tc>
        <w:tc>
          <w:tcPr>
            <w:tcW w:w="1107" w:type="dxa"/>
          </w:tcPr>
          <w:p w:rsidR="0041700B" w:rsidRPr="0074544A" w:rsidRDefault="0041700B" w:rsidP="0041700B">
            <w:pPr>
              <w:pStyle w:val="TableText"/>
              <w:cnfStyle w:val="000000000000" w:firstRow="0" w:lastRow="0" w:firstColumn="0" w:lastColumn="0" w:oddVBand="0" w:evenVBand="0" w:oddHBand="0" w:evenHBand="0" w:firstRowFirstColumn="0" w:firstRowLastColumn="0" w:lastRowFirstColumn="0" w:lastRowLastColumn="0"/>
              <w:rPr>
                <w:rFonts w:ascii="Gotham Medium" w:eastAsia="SimSun" w:hAnsi="Gotham Medium" w:cs="Arial"/>
                <w:color w:val="000000"/>
                <w:sz w:val="15"/>
                <w:szCs w:val="15"/>
                <w:lang w:val="en-US"/>
              </w:rPr>
            </w:pPr>
            <w:r w:rsidRPr="0074544A">
              <w:rPr>
                <w:rFonts w:eastAsia="SimSun"/>
                <w:w w:val="90"/>
                <w:sz w:val="15"/>
                <w:szCs w:val="15"/>
                <w:lang w:val="en-US"/>
              </w:rPr>
              <w:t>N/A</w:t>
            </w:r>
          </w:p>
        </w:tc>
      </w:tr>
    </w:tbl>
    <w:p w:rsidR="00561BC0" w:rsidRDefault="00561BC0" w:rsidP="000D3D68">
      <w:pPr>
        <w:pStyle w:val="ListNumber"/>
        <w:numPr>
          <w:ilvl w:val="0"/>
          <w:numId w:val="0"/>
        </w:numPr>
        <w:sectPr w:rsidR="00561BC0" w:rsidSect="0029772F">
          <w:pgSz w:w="11906" w:h="16838" w:code="9"/>
          <w:pgMar w:top="765" w:right="851" w:bottom="1134" w:left="851" w:header="510" w:footer="397" w:gutter="0"/>
          <w:cols w:space="397"/>
          <w:docGrid w:linePitch="360"/>
        </w:sectPr>
      </w:pPr>
    </w:p>
    <w:p w:rsidR="00DE23F2" w:rsidRDefault="00DE23F2">
      <w:pPr>
        <w:adjustRightInd/>
        <w:snapToGrid/>
        <w:spacing w:after="0" w:line="240" w:lineRule="auto"/>
      </w:pPr>
    </w:p>
    <w:sdt>
      <w:sdtPr>
        <w:alias w:val="Last Page"/>
        <w:tag w:val="Last Page"/>
        <w:id w:val="455064913"/>
        <w:lock w:val="sdtLocked"/>
        <w:placeholder>
          <w:docPart w:val="1C9D5BB1FD0C435AB4F6D09A430FB637"/>
        </w:placeholder>
        <w:docPartList>
          <w:docPartGallery w:val="Custom 2"/>
        </w:docPartList>
      </w:sdtPr>
      <w:sdtEndPr/>
      <w:sdtContent>
        <w:tbl>
          <w:tblPr>
            <w:tblStyle w:val="LayoutGrid"/>
            <w:tblpPr w:leftFromText="181" w:rightFromText="181" w:topFromText="567" w:vertAnchor="page" w:horzAnchor="page" w:tblpX="852" w:tblpYSpec="bottom"/>
            <w:tblOverlap w:val="never"/>
            <w:tblW w:w="10206" w:type="dxa"/>
            <w:tblLook w:val="04A0" w:firstRow="1" w:lastRow="0" w:firstColumn="1" w:lastColumn="0" w:noHBand="0" w:noVBand="1"/>
            <w:tblCaption w:val="Disclaimer grid"/>
          </w:tblPr>
          <w:tblGrid>
            <w:gridCol w:w="3402"/>
            <w:gridCol w:w="1418"/>
            <w:gridCol w:w="472"/>
            <w:gridCol w:w="1512"/>
            <w:gridCol w:w="3402"/>
          </w:tblGrid>
          <w:tr w:rsidR="00217E74" w:rsidTr="00D72E2C">
            <w:trPr>
              <w:cantSplit/>
              <w:trHeight w:hRule="exact" w:val="10773"/>
              <w:tblHeader/>
            </w:trPr>
            <w:tc>
              <w:tcPr>
                <w:tcW w:w="10206" w:type="dxa"/>
                <w:gridSpan w:val="5"/>
                <w:vAlign w:val="bottom"/>
              </w:tcPr>
              <w:p w:rsidR="00217E74" w:rsidRDefault="00217E74" w:rsidP="00A4001A">
                <w:pPr>
                  <w:adjustRightInd/>
                  <w:snapToGrid/>
                  <w:spacing w:after="0" w:line="240" w:lineRule="auto"/>
                </w:pPr>
                <w:r>
                  <w:rPr>
                    <w:noProof/>
                    <w:lang w:eastAsia="en-AU"/>
                  </w:rPr>
                  <w:drawing>
                    <wp:inline distT="0" distB="0" distL="0" distR="0" wp14:anchorId="02AC1B38" wp14:editId="1F9CF6EE">
                      <wp:extent cx="582930" cy="630936"/>
                      <wp:effectExtent l="0" t="0" r="7620" b="0"/>
                      <wp:docPr id="1" name="Picture 1"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0">
                                <a:extLst>
                                  <a:ext uri="{28A0092B-C50C-407E-A947-70E740481C1C}">
                                    <a14:useLocalDpi xmlns:a14="http://schemas.microsoft.com/office/drawing/2010/main" val="0"/>
                                  </a:ext>
                                </a:extLst>
                              </a:blip>
                              <a:stretch>
                                <a:fillRect/>
                              </a:stretch>
                            </pic:blipFill>
                            <pic:spPr>
                              <a:xfrm>
                                <a:off x="0" y="0"/>
                                <a:ext cx="582930" cy="630936"/>
                              </a:xfrm>
                              <a:prstGeom prst="rect">
                                <a:avLst/>
                              </a:prstGeom>
                            </pic:spPr>
                          </pic:pic>
                        </a:graphicData>
                      </a:graphic>
                    </wp:inline>
                  </w:drawing>
                </w:r>
              </w:p>
            </w:tc>
          </w:tr>
          <w:tr w:rsidR="00F7619E" w:rsidTr="00F7619E">
            <w:trPr>
              <w:cantSplit/>
              <w:trHeight w:hRule="exact" w:val="312"/>
            </w:trPr>
            <w:tc>
              <w:tcPr>
                <w:tcW w:w="3402" w:type="dxa"/>
                <w:tcBorders>
                  <w:bottom w:val="single" w:sz="4" w:space="0" w:color="15397F" w:themeColor="background2"/>
                </w:tcBorders>
              </w:tcPr>
              <w:p w:rsidR="00F7619E" w:rsidRDefault="00F7619E" w:rsidP="00A4001A">
                <w:pPr>
                  <w:adjustRightInd/>
                  <w:snapToGrid/>
                  <w:spacing w:after="0" w:line="240" w:lineRule="auto"/>
                </w:pPr>
              </w:p>
            </w:tc>
            <w:tc>
              <w:tcPr>
                <w:tcW w:w="3402" w:type="dxa"/>
                <w:gridSpan w:val="3"/>
                <w:tcBorders>
                  <w:bottom w:val="single" w:sz="4" w:space="0" w:color="15397F" w:themeColor="background2"/>
                </w:tcBorders>
              </w:tcPr>
              <w:p w:rsidR="00F7619E" w:rsidRDefault="00F7619E" w:rsidP="00A4001A">
                <w:pPr>
                  <w:adjustRightInd/>
                  <w:snapToGrid/>
                  <w:spacing w:after="0" w:line="240" w:lineRule="auto"/>
                </w:pPr>
              </w:p>
            </w:tc>
            <w:tc>
              <w:tcPr>
                <w:tcW w:w="3402" w:type="dxa"/>
                <w:tcBorders>
                  <w:bottom w:val="single" w:sz="4" w:space="0" w:color="15397F" w:themeColor="background2"/>
                </w:tcBorders>
              </w:tcPr>
              <w:p w:rsidR="00F7619E" w:rsidRDefault="00F7619E" w:rsidP="00A4001A">
                <w:pPr>
                  <w:adjustRightInd/>
                  <w:snapToGrid/>
                  <w:spacing w:after="0" w:line="240" w:lineRule="auto"/>
                </w:pPr>
              </w:p>
            </w:tc>
          </w:tr>
          <w:tr w:rsidR="00F7619E" w:rsidTr="00F7619E">
            <w:trPr>
              <w:cantSplit/>
              <w:trHeight w:hRule="exact" w:val="284"/>
            </w:trPr>
            <w:tc>
              <w:tcPr>
                <w:tcW w:w="3402" w:type="dxa"/>
                <w:tcBorders>
                  <w:top w:val="single" w:sz="4" w:space="0" w:color="15397F" w:themeColor="background2"/>
                </w:tcBorders>
                <w:shd w:val="clear" w:color="auto" w:fill="FFFFFF" w:themeFill="background1"/>
              </w:tcPr>
              <w:p w:rsidR="00F7619E" w:rsidRDefault="00F7619E" w:rsidP="00A4001A">
                <w:pPr>
                  <w:adjustRightInd/>
                  <w:snapToGrid/>
                  <w:spacing w:after="0" w:line="240" w:lineRule="auto"/>
                </w:pPr>
              </w:p>
            </w:tc>
            <w:tc>
              <w:tcPr>
                <w:tcW w:w="3402" w:type="dxa"/>
                <w:gridSpan w:val="3"/>
                <w:tcBorders>
                  <w:top w:val="single" w:sz="4" w:space="0" w:color="15397F" w:themeColor="background2"/>
                </w:tcBorders>
                <w:shd w:val="clear" w:color="auto" w:fill="FFFFFF" w:themeFill="background1"/>
              </w:tcPr>
              <w:p w:rsidR="00F7619E" w:rsidRDefault="00F7619E" w:rsidP="00A4001A">
                <w:pPr>
                  <w:adjustRightInd/>
                  <w:snapToGrid/>
                  <w:spacing w:after="0" w:line="240" w:lineRule="auto"/>
                </w:pPr>
              </w:p>
            </w:tc>
            <w:tc>
              <w:tcPr>
                <w:tcW w:w="3402" w:type="dxa"/>
                <w:tcBorders>
                  <w:top w:val="single" w:sz="4" w:space="0" w:color="15397F" w:themeColor="background2"/>
                </w:tcBorders>
                <w:shd w:val="clear" w:color="auto" w:fill="FFFFFF" w:themeFill="background1"/>
              </w:tcPr>
              <w:p w:rsidR="00F7619E" w:rsidRDefault="00F7619E" w:rsidP="00A4001A">
                <w:pPr>
                  <w:adjustRightInd/>
                  <w:snapToGrid/>
                  <w:spacing w:after="0" w:line="240" w:lineRule="auto"/>
                </w:pPr>
              </w:p>
            </w:tc>
          </w:tr>
          <w:tr w:rsidR="00217E74" w:rsidTr="00DA16EC">
            <w:trPr>
              <w:cantSplit/>
            </w:trPr>
            <w:tc>
              <w:tcPr>
                <w:tcW w:w="4820" w:type="dxa"/>
                <w:gridSpan w:val="2"/>
                <w:shd w:val="clear" w:color="auto" w:fill="FFFFFF" w:themeFill="background1"/>
                <w:vAlign w:val="bottom"/>
              </w:tcPr>
              <w:p w:rsidR="00217E74" w:rsidRPr="00DE23F2" w:rsidRDefault="00217E74" w:rsidP="00A4001A">
                <w:pPr>
                  <w:pStyle w:val="DisclaimerHeading"/>
                  <w:framePr w:hSpace="0" w:vSpace="0" w:wrap="auto" w:vAnchor="margin" w:hAnchor="text" w:xAlign="left" w:yAlign="inline"/>
                  <w:suppressOverlap w:val="0"/>
                </w:pPr>
                <w:r w:rsidRPr="00DE23F2">
                  <w:t>Disclaimer</w:t>
                </w:r>
              </w:p>
              <w:p w:rsidR="00217E74" w:rsidRDefault="00217E74" w:rsidP="00A4001A">
                <w:pPr>
                  <w:pStyle w:val="Disclaimer"/>
                </w:pPr>
                <w:r>
                  <w:t xml:space="preserve">This publication may contain information that relates to the regulation of Compulsory Third Party insurance in NSW. It may include some of your obligations under the various legislations that the State Insurance Regulatory Authority (SIRA) administers. To ensure you comply with your legal obligations you must refer to the appropriate legislation. Information on the latest laws can be checked by visiting the NSW Legislation website legislation.nsw.gov.au. </w:t>
                </w:r>
              </w:p>
              <w:p w:rsidR="00217E74" w:rsidRDefault="00217E74" w:rsidP="00A4001A">
                <w:pPr>
                  <w:pStyle w:val="Disclaimer"/>
                </w:pPr>
                <w:r>
                  <w:t>This publication does not represent a comprehensive statement of the law as it applies to particular problems or to individuals or as a substitute for legal advice. You should seek independent legal advice if you need assistance on the application of the law to your situation.</w:t>
                </w:r>
              </w:p>
            </w:tc>
            <w:tc>
              <w:tcPr>
                <w:tcW w:w="472" w:type="dxa"/>
                <w:shd w:val="clear" w:color="auto" w:fill="FFFFFF" w:themeFill="background1"/>
                <w:vAlign w:val="bottom"/>
              </w:tcPr>
              <w:p w:rsidR="00217E74" w:rsidRDefault="00217E74" w:rsidP="00A4001A">
                <w:pPr>
                  <w:adjustRightInd/>
                  <w:snapToGrid/>
                  <w:spacing w:after="0" w:line="240" w:lineRule="auto"/>
                </w:pPr>
              </w:p>
            </w:tc>
            <w:tc>
              <w:tcPr>
                <w:tcW w:w="4914" w:type="dxa"/>
                <w:gridSpan w:val="2"/>
                <w:shd w:val="clear" w:color="auto" w:fill="FFFFFF" w:themeFill="background1"/>
                <w:vAlign w:val="bottom"/>
              </w:tcPr>
              <w:p w:rsidR="00217E74" w:rsidRDefault="00217E74" w:rsidP="00A4001A">
                <w:pPr>
                  <w:pStyle w:val="Disclaimer"/>
                </w:pPr>
              </w:p>
              <w:p w:rsidR="00217E74" w:rsidRDefault="00217E74" w:rsidP="00A4001A">
                <w:pPr>
                  <w:pStyle w:val="Disclaimer"/>
                </w:pPr>
                <w:r>
                  <w:t>This material may be displayed, printed and reproduced without amendment for personal, in-house or non-commercial use.</w:t>
                </w:r>
              </w:p>
              <w:p w:rsidR="00217E74" w:rsidRPr="00DE23F2" w:rsidRDefault="00217E74" w:rsidP="00A4001A">
                <w:pPr>
                  <w:pStyle w:val="Disclaimer"/>
                </w:pPr>
                <w:r>
                  <w:t xml:space="preserve">© State Insurance Regulatory Authority (SIRA) </w:t>
                </w:r>
                <w:r>
                  <w:br/>
                  <w:t xml:space="preserve">Catalogue no. SIRA08055 </w:t>
                </w:r>
                <w:r>
                  <w:br/>
                  <w:t xml:space="preserve">State Insurance Regulatory Authority </w:t>
                </w:r>
                <w:r>
                  <w:br/>
                  <w:t xml:space="preserve">Motor Accidents Insurance Regulation, Level 25, </w:t>
                </w:r>
                <w:r>
                  <w:br/>
                  <w:t xml:space="preserve">580 George Street, Sydney NSW 2000 </w:t>
                </w:r>
                <w:r>
                  <w:br/>
                  <w:t>General phone enquiries 1300 137 131 or</w:t>
                </w:r>
                <w:r>
                  <w:br/>
                  <w:t xml:space="preserve">Claims Advisory Service 1300 656 919 </w:t>
                </w:r>
                <w:r>
                  <w:br/>
                  <w:t xml:space="preserve">Website www.sira.nsw.gov.au  </w:t>
                </w:r>
                <w:r>
                  <w:br/>
                  <w:t>ISBN 978-1-74341-634-1 © Copyright State Insurance Regulatory Authority NSW 0316.</w:t>
                </w:r>
              </w:p>
            </w:tc>
          </w:tr>
          <w:tr w:rsidR="00217E74" w:rsidTr="00DA16EC">
            <w:trPr>
              <w:cantSplit/>
              <w:trHeight w:hRule="exact" w:val="652"/>
            </w:trPr>
            <w:tc>
              <w:tcPr>
                <w:tcW w:w="4820" w:type="dxa"/>
                <w:gridSpan w:val="2"/>
                <w:shd w:val="clear" w:color="auto" w:fill="FFFFFF" w:themeFill="background1"/>
              </w:tcPr>
              <w:p w:rsidR="00217E74" w:rsidRDefault="00217E74" w:rsidP="00A4001A">
                <w:pPr>
                  <w:adjustRightInd/>
                  <w:snapToGrid/>
                  <w:spacing w:after="0" w:line="240" w:lineRule="auto"/>
                </w:pPr>
              </w:p>
            </w:tc>
            <w:tc>
              <w:tcPr>
                <w:tcW w:w="472" w:type="dxa"/>
                <w:shd w:val="clear" w:color="auto" w:fill="FFFFFF" w:themeFill="background1"/>
              </w:tcPr>
              <w:p w:rsidR="00217E74" w:rsidRDefault="00217E74" w:rsidP="00A4001A">
                <w:pPr>
                  <w:adjustRightInd/>
                  <w:snapToGrid/>
                  <w:spacing w:after="0" w:line="240" w:lineRule="auto"/>
                </w:pPr>
              </w:p>
            </w:tc>
            <w:tc>
              <w:tcPr>
                <w:tcW w:w="4914" w:type="dxa"/>
                <w:gridSpan w:val="2"/>
                <w:shd w:val="clear" w:color="auto" w:fill="FFFFFF" w:themeFill="background1"/>
              </w:tcPr>
              <w:p w:rsidR="00217E74" w:rsidRDefault="00217E74" w:rsidP="00A4001A">
                <w:pPr>
                  <w:adjustRightInd/>
                  <w:snapToGrid/>
                  <w:spacing w:after="0" w:line="240" w:lineRule="auto"/>
                </w:pPr>
              </w:p>
            </w:tc>
          </w:tr>
        </w:tbl>
        <w:p w:rsidR="00FD576E" w:rsidRDefault="005043A2">
          <w:pPr>
            <w:adjustRightInd/>
            <w:snapToGrid/>
            <w:spacing w:after="0" w:line="240" w:lineRule="auto"/>
          </w:pPr>
        </w:p>
      </w:sdtContent>
    </w:sdt>
    <w:sectPr w:rsidR="00FD576E" w:rsidSect="009C711B">
      <w:pgSz w:w="11906" w:h="16838" w:code="9"/>
      <w:pgMar w:top="765" w:right="851" w:bottom="1134" w:left="851" w:header="510" w:footer="397" w:gutter="0"/>
      <w:cols w:num="2"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68D" w:rsidRDefault="0021668D">
      <w:r>
        <w:separator/>
      </w:r>
    </w:p>
  </w:endnote>
  <w:endnote w:type="continuationSeparator" w:id="0">
    <w:p w:rsidR="0021668D" w:rsidRDefault="0021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otham Book">
    <w:altName w:val="Arial"/>
    <w:panose1 w:val="00000000000000000000"/>
    <w:charset w:val="00"/>
    <w:family w:val="modern"/>
    <w:notTrueType/>
    <w:pitch w:val="variable"/>
    <w:sig w:usb0="00000001" w:usb1="4000005B" w:usb2="00000000" w:usb3="00000000" w:csb0="0000009B" w:csb1="00000000"/>
  </w:font>
  <w:font w:name="Gotham Medium">
    <w:altName w:val="Arial"/>
    <w:panose1 w:val="00000000000000000000"/>
    <w:charset w:val="00"/>
    <w:family w:val="modern"/>
    <w:notTrueType/>
    <w:pitch w:val="variable"/>
    <w:sig w:usb0="00000001" w:usb1="4000005B" w:usb2="00000000" w:usb3="00000000" w:csb0="0000009B" w:csb1="00000000"/>
  </w:font>
  <w:font w:name="Consolas">
    <w:panose1 w:val="020B0609020204030204"/>
    <w:charset w:val="00"/>
    <w:family w:val="modern"/>
    <w:pitch w:val="fixed"/>
    <w:sig w:usb0="E10002FF" w:usb1="4000FCFF" w:usb2="00000009" w:usb3="00000000" w:csb0="0000019F" w:csb1="00000000"/>
  </w:font>
  <w:font w:name="Times Regular">
    <w:panose1 w:val="00000000000000000000"/>
    <w:charset w:val="00"/>
    <w:family w:val="auto"/>
    <w:notTrueType/>
    <w:pitch w:val="default"/>
    <w:sig w:usb0="00000003" w:usb1="00000000" w:usb2="00000000" w:usb3="00000000" w:csb0="00000001" w:csb1="00000000"/>
  </w:font>
  <w:font w:name="Gotham Light">
    <w:altName w:val="Gotham Light"/>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ayoutGrid"/>
      <w:tblW w:w="5000" w:type="pct"/>
      <w:tblLook w:val="01E0" w:firstRow="1" w:lastRow="1" w:firstColumn="1" w:lastColumn="1" w:noHBand="0" w:noVBand="0"/>
      <w:tblCaption w:val="Footer grid containing page number"/>
    </w:tblPr>
    <w:tblGrid>
      <w:gridCol w:w="4167"/>
      <w:gridCol w:w="3205"/>
      <w:gridCol w:w="2832"/>
    </w:tblGrid>
    <w:tr w:rsidR="0021668D" w:rsidTr="00915367">
      <w:trPr>
        <w:tblHeader/>
      </w:trPr>
      <w:tc>
        <w:tcPr>
          <w:tcW w:w="3686" w:type="dxa"/>
        </w:tcPr>
        <w:p w:rsidR="0021668D" w:rsidRPr="00B64CC4" w:rsidRDefault="0021668D" w:rsidP="000F6618">
          <w:pPr>
            <w:pStyle w:val="Footer"/>
          </w:pPr>
        </w:p>
      </w:tc>
      <w:tc>
        <w:tcPr>
          <w:tcW w:w="2835" w:type="dxa"/>
        </w:tcPr>
        <w:p w:rsidR="0021668D" w:rsidRPr="00B64CC4" w:rsidRDefault="0021668D" w:rsidP="002539D6">
          <w:pPr>
            <w:pStyle w:val="Footer"/>
            <w:jc w:val="center"/>
          </w:pPr>
        </w:p>
      </w:tc>
      <w:tc>
        <w:tcPr>
          <w:tcW w:w="2505" w:type="dxa"/>
        </w:tcPr>
        <w:p w:rsidR="0021668D" w:rsidRPr="00B64CC4" w:rsidRDefault="0021668D" w:rsidP="008064D9">
          <w:pPr>
            <w:pStyle w:val="Footer"/>
            <w:jc w:val="right"/>
          </w:pPr>
          <w:r>
            <w:rPr>
              <w:b/>
              <w:bCs/>
            </w:rPr>
            <w:fldChar w:fldCharType="begin"/>
          </w:r>
          <w:r>
            <w:rPr>
              <w:b/>
              <w:bCs/>
            </w:rPr>
            <w:instrText xml:space="preserve"> PAGE  \* Arabic  \* MERGEFORMAT </w:instrText>
          </w:r>
          <w:r>
            <w:rPr>
              <w:b/>
              <w:bCs/>
            </w:rPr>
            <w:fldChar w:fldCharType="separate"/>
          </w:r>
          <w:r w:rsidR="005043A2">
            <w:rPr>
              <w:b/>
              <w:bCs/>
              <w:noProof/>
            </w:rPr>
            <w:t>27</w:t>
          </w:r>
          <w:r>
            <w:rPr>
              <w:b/>
              <w:bCs/>
            </w:rPr>
            <w:fldChar w:fldCharType="end"/>
          </w:r>
        </w:p>
      </w:tc>
    </w:tr>
  </w:tbl>
  <w:p w:rsidR="0021668D" w:rsidRDefault="0021668D" w:rsidP="00237E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68D" w:rsidRPr="00BC27E6" w:rsidRDefault="0021668D" w:rsidP="00BC27E6">
      <w:pPr>
        <w:pStyle w:val="Footer"/>
      </w:pPr>
    </w:p>
  </w:footnote>
  <w:footnote w:type="continuationSeparator" w:id="0">
    <w:p w:rsidR="0021668D" w:rsidRDefault="0021668D">
      <w:r>
        <w:continuationSeparator/>
      </w:r>
    </w:p>
  </w:footnote>
  <w:footnote w:id="1">
    <w:p w:rsidR="0021668D" w:rsidRPr="00BC27E6" w:rsidRDefault="0021668D" w:rsidP="003167E6">
      <w:pPr>
        <w:pStyle w:val="Footnotes"/>
      </w:pPr>
      <w:r>
        <w:rPr>
          <w:rStyle w:val="FootnoteReference"/>
        </w:rPr>
        <w:footnoteRef/>
      </w:r>
      <w:r>
        <w:t xml:space="preserve"> </w:t>
      </w:r>
      <w:r w:rsidRPr="00BC27E6">
        <w:tab/>
        <w:t>Assuming the Lifetime Care and Support levy was added to benefits paid to claimants in the above illustration, the proportion of the Green Slip dollar paid to injured people is around 50%. This cannot be adopted as a combined efficiency ratio for the CTP and Lifetime Care and Support schemes as they are fundamentally different in structure, cash flows and operation.</w:t>
      </w:r>
    </w:p>
  </w:footnote>
  <w:footnote w:id="2">
    <w:p w:rsidR="0021668D" w:rsidRDefault="0021668D" w:rsidP="003167E6">
      <w:pPr>
        <w:pStyle w:val="Footnotes"/>
      </w:pPr>
      <w:r w:rsidRPr="001D3E1C">
        <w:rPr>
          <w:rStyle w:val="FootnoteReference"/>
        </w:rPr>
        <w:footnoteRef/>
      </w:r>
      <w:r w:rsidRPr="00BC27E6">
        <w:t xml:space="preserve"> </w:t>
      </w:r>
      <w:r w:rsidRPr="00BC27E6">
        <w:tab/>
        <w:t>Includes money paid by a claimant from their settlement to their lawyer.</w:t>
      </w:r>
    </w:p>
  </w:footnote>
  <w:footnote w:id="3">
    <w:p w:rsidR="0021668D" w:rsidRDefault="0021668D" w:rsidP="003167E6">
      <w:pPr>
        <w:pStyle w:val="Footnotes"/>
      </w:pPr>
      <w:r>
        <w:rPr>
          <w:rStyle w:val="FootnoteReference"/>
        </w:rPr>
        <w:footnoteRef/>
      </w:r>
      <w:r>
        <w:t xml:space="preserve"> </w:t>
      </w:r>
      <w:r>
        <w:tab/>
      </w:r>
      <w:r w:rsidRPr="0020430C">
        <w:t>Motor Accidents Authority (now SIRA) survey of 660 claimants, June 2015</w:t>
      </w:r>
    </w:p>
  </w:footnote>
  <w:footnote w:id="4">
    <w:p w:rsidR="0021668D" w:rsidRDefault="0021668D" w:rsidP="003167E6">
      <w:pPr>
        <w:pStyle w:val="Footnotes"/>
      </w:pPr>
      <w:r>
        <w:rPr>
          <w:rStyle w:val="FootnoteReference"/>
        </w:rPr>
        <w:footnoteRef/>
      </w:r>
      <w:r>
        <w:t xml:space="preserve"> </w:t>
      </w:r>
      <w:r>
        <w:tab/>
      </w:r>
      <w:r w:rsidRPr="00D74098">
        <w:t>Insurancenews.com.au 4 June 2012</w:t>
      </w:r>
    </w:p>
  </w:footnote>
  <w:footnote w:id="5">
    <w:p w:rsidR="0021668D" w:rsidRDefault="0021668D">
      <w:pPr>
        <w:pStyle w:val="FootnoteText"/>
      </w:pPr>
      <w:r>
        <w:rPr>
          <w:rStyle w:val="FootnoteReference"/>
        </w:rPr>
        <w:footnoteRef/>
      </w:r>
      <w:r>
        <w:t xml:space="preserve"> </w:t>
      </w:r>
      <w:r>
        <w:tab/>
      </w:r>
      <w:r w:rsidRPr="006F6DFD">
        <w:t>Best price is based on the lowest price offered for a new CTP policy for a driver under 55 years of age</w:t>
      </w:r>
    </w:p>
  </w:footnote>
  <w:footnote w:id="6">
    <w:p w:rsidR="0021668D" w:rsidRDefault="0021668D" w:rsidP="00AE6D02">
      <w:pPr>
        <w:pStyle w:val="Footnotes"/>
      </w:pPr>
      <w:r>
        <w:rPr>
          <w:rStyle w:val="FootnoteReference"/>
        </w:rPr>
        <w:footnoteRef/>
      </w:r>
      <w:r>
        <w:t xml:space="preserve"> </w:t>
      </w:r>
      <w:r w:rsidR="00AE6D02">
        <w:t xml:space="preserve">  </w:t>
      </w:r>
      <w:r w:rsidRPr="004770CB">
        <w:t>This document has been prepared as a general guide to motor accidents compensations schemes in Australia and information may have updated. Please contact the individual schemes if you require further information or clarification of details.</w:t>
      </w:r>
    </w:p>
  </w:footnote>
  <w:footnote w:id="7">
    <w:p w:rsidR="0021668D" w:rsidRDefault="0021668D" w:rsidP="00AE6D02">
      <w:pPr>
        <w:pStyle w:val="Footnotes"/>
      </w:pPr>
      <w:r>
        <w:rPr>
          <w:rStyle w:val="FootnoteReference"/>
        </w:rPr>
        <w:footnoteRef/>
      </w:r>
      <w:r>
        <w:t xml:space="preserve"> </w:t>
      </w:r>
      <w:r w:rsidR="00AE6D02">
        <w:t xml:space="preserve">  </w:t>
      </w:r>
      <w:proofErr w:type="gramStart"/>
      <w:r w:rsidRPr="004770CB">
        <w:t>Metropolitan passenger vehicle, including GST and levies</w:t>
      </w:r>
      <w:r>
        <w:t>.</w:t>
      </w:r>
      <w:proofErr w:type="gramEnd"/>
    </w:p>
  </w:footnote>
  <w:footnote w:id="8">
    <w:p w:rsidR="0021668D" w:rsidRDefault="0021668D" w:rsidP="0014781B">
      <w:pPr>
        <w:pStyle w:val="Footnotes"/>
      </w:pPr>
      <w:r w:rsidRPr="004770CB">
        <w:rPr>
          <w:rStyle w:val="FootnoteReference"/>
        </w:rPr>
        <w:footnoteRef/>
      </w:r>
      <w:r w:rsidRPr="004770CB">
        <w:t xml:space="preserve"> </w:t>
      </w:r>
      <w:proofErr w:type="gramStart"/>
      <w:r w:rsidRPr="004770CB">
        <w:t>As at 1 July 2014.</w:t>
      </w:r>
      <w:proofErr w:type="gramEnd"/>
    </w:p>
  </w:footnote>
  <w:footnote w:id="9">
    <w:p w:rsidR="0021668D" w:rsidRDefault="0021668D" w:rsidP="0070174D">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8D" w:rsidRDefault="0021668D" w:rsidP="00ED2214">
    <w:pPr>
      <w:pStyle w:val="Header"/>
      <w:tabs>
        <w:tab w:val="clear" w:pos="4153"/>
        <w:tab w:val="clear" w:pos="8306"/>
        <w:tab w:val="left" w:pos="82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8D" w:rsidRDefault="0021668D">
    <w:pPr>
      <w:pStyle w:val="Header"/>
    </w:pPr>
    <w:r>
      <w:rPr>
        <w:noProof/>
        <w:lang w:eastAsia="en-AU"/>
      </w:rPr>
      <w:drawing>
        <wp:anchor distT="0" distB="0" distL="114300" distR="114300" simplePos="0" relativeHeight="251661312" behindDoc="1" locked="1" layoutInCell="0" allowOverlap="1" wp14:anchorId="12E5A216" wp14:editId="0E87D2A7">
          <wp:simplePos x="0" y="0"/>
          <wp:positionH relativeFrom="page">
            <wp:posOffset>0</wp:posOffset>
          </wp:positionH>
          <wp:positionV relativeFrom="page">
            <wp:posOffset>0</wp:posOffset>
          </wp:positionV>
          <wp:extent cx="7562215" cy="10695305"/>
          <wp:effectExtent l="0" t="0" r="635" b="0"/>
          <wp:wrapNone/>
          <wp:docPr id="3" name="Picture 3" title="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P Reform Brochure_V4_Page_01.jpg"/>
                  <pic:cNvPicPr/>
                </pic:nvPicPr>
                <pic:blipFill>
                  <a:blip r:embed="rId1">
                    <a:extLst>
                      <a:ext uri="{28A0092B-C50C-407E-A947-70E740481C1C}">
                        <a14:useLocalDpi xmlns:a14="http://schemas.microsoft.com/office/drawing/2010/main" val="0"/>
                      </a:ext>
                    </a:extLst>
                  </a:blip>
                  <a:stretch>
                    <a:fillRect/>
                  </a:stretch>
                </pic:blipFill>
                <pic:spPr>
                  <a:xfrm>
                    <a:off x="0" y="0"/>
                    <a:ext cx="7562215" cy="10695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8D" w:rsidRDefault="002166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8"/>
    <w:multiLevelType w:val="singleLevel"/>
    <w:tmpl w:val="271263BA"/>
    <w:lvl w:ilvl="0">
      <w:start w:val="1"/>
      <w:numFmt w:val="decimal"/>
      <w:lvlText w:val="%1."/>
      <w:lvlJc w:val="left"/>
      <w:pPr>
        <w:tabs>
          <w:tab w:val="num" w:pos="360"/>
        </w:tabs>
        <w:ind w:left="360" w:hanging="360"/>
      </w:pPr>
    </w:lvl>
  </w:abstractNum>
  <w:abstractNum w:abstractNumId="5">
    <w:nsid w:val="FFFFFF89"/>
    <w:multiLevelType w:val="singleLevel"/>
    <w:tmpl w:val="472CDCA2"/>
    <w:lvl w:ilvl="0">
      <w:start w:val="1"/>
      <w:numFmt w:val="bullet"/>
      <w:lvlText w:val=""/>
      <w:lvlJc w:val="left"/>
      <w:pPr>
        <w:tabs>
          <w:tab w:val="num" w:pos="360"/>
        </w:tabs>
        <w:ind w:left="360" w:hanging="360"/>
      </w:pPr>
      <w:rPr>
        <w:rFonts w:ascii="Symbol" w:hAnsi="Symbol" w:hint="default"/>
      </w:rPr>
    </w:lvl>
  </w:abstractNum>
  <w:abstractNum w:abstractNumId="6">
    <w:nsid w:val="05A52EF7"/>
    <w:multiLevelType w:val="multilevel"/>
    <w:tmpl w:val="B7ACC106"/>
    <w:styleLink w:val="NubmeredHeadings"/>
    <w:lvl w:ilvl="0">
      <w:start w:val="1"/>
      <w:numFmt w:val="decimal"/>
      <w:pStyle w:val="Heading1-Numbered"/>
      <w:lvlText w:val="%1."/>
      <w:lvlJc w:val="left"/>
      <w:pPr>
        <w:ind w:left="539" w:hanging="539"/>
      </w:pPr>
      <w:rPr>
        <w:rFonts w:hint="default"/>
      </w:rPr>
    </w:lvl>
    <w:lvl w:ilvl="1">
      <w:start w:val="1"/>
      <w:numFmt w:val="decimal"/>
      <w:pStyle w:val="Heading2-Numbered"/>
      <w:lvlText w:val="%1.%2"/>
      <w:lvlJc w:val="left"/>
      <w:pPr>
        <w:ind w:left="539" w:hanging="539"/>
      </w:pPr>
      <w:rPr>
        <w:rFonts w:hint="default"/>
      </w:rPr>
    </w:lvl>
    <w:lvl w:ilvl="2">
      <w:start w:val="1"/>
      <w:numFmt w:val="decimal"/>
      <w:pStyle w:val="Heading3-Numbered"/>
      <w:lvlText w:val="%1.%2.%3"/>
      <w:lvlJc w:val="left"/>
      <w:pPr>
        <w:ind w:left="539" w:hanging="539"/>
      </w:pPr>
      <w:rPr>
        <w:rFonts w:hint="default"/>
      </w:rPr>
    </w:lvl>
    <w:lvl w:ilvl="3">
      <w:start w:val="1"/>
      <w:numFmt w:val="none"/>
      <w:lvlText w:val=""/>
      <w:lvlJc w:val="left"/>
      <w:pPr>
        <w:ind w:left="539" w:hanging="539"/>
      </w:pPr>
      <w:rPr>
        <w:rFonts w:hint="default"/>
      </w:rPr>
    </w:lvl>
    <w:lvl w:ilvl="4">
      <w:start w:val="1"/>
      <w:numFmt w:val="none"/>
      <w:lvlText w:val=""/>
      <w:lvlJc w:val="left"/>
      <w:pPr>
        <w:ind w:left="539" w:hanging="539"/>
      </w:pPr>
      <w:rPr>
        <w:rFonts w:hint="default"/>
      </w:rPr>
    </w:lvl>
    <w:lvl w:ilvl="5">
      <w:start w:val="1"/>
      <w:numFmt w:val="none"/>
      <w:lvlText w:val=""/>
      <w:lvlJc w:val="left"/>
      <w:pPr>
        <w:ind w:left="539" w:hanging="539"/>
      </w:pPr>
      <w:rPr>
        <w:rFonts w:hint="default"/>
      </w:rPr>
    </w:lvl>
    <w:lvl w:ilvl="6">
      <w:start w:val="1"/>
      <w:numFmt w:val="none"/>
      <w:lvlText w:val=""/>
      <w:lvlJc w:val="left"/>
      <w:pPr>
        <w:ind w:left="539" w:hanging="539"/>
      </w:pPr>
      <w:rPr>
        <w:rFonts w:hint="default"/>
      </w:rPr>
    </w:lvl>
    <w:lvl w:ilvl="7">
      <w:start w:val="1"/>
      <w:numFmt w:val="none"/>
      <w:lvlText w:val=""/>
      <w:lvlJc w:val="left"/>
      <w:pPr>
        <w:ind w:left="539" w:hanging="539"/>
      </w:pPr>
      <w:rPr>
        <w:rFonts w:hint="default"/>
      </w:rPr>
    </w:lvl>
    <w:lvl w:ilvl="8">
      <w:start w:val="1"/>
      <w:numFmt w:val="none"/>
      <w:lvlText w:val=""/>
      <w:lvlJc w:val="left"/>
      <w:pPr>
        <w:ind w:left="539" w:hanging="539"/>
      </w:pPr>
      <w:rPr>
        <w:rFonts w:hint="default"/>
      </w:rPr>
    </w:lvl>
  </w:abstractNum>
  <w:abstractNum w:abstractNumId="7">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nsid w:val="0DA773A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1807B3"/>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1CAD4FDE"/>
    <w:multiLevelType w:val="multilevel"/>
    <w:tmpl w:val="765C3994"/>
    <w:numStyleLink w:val="ListNumbers"/>
  </w:abstractNum>
  <w:abstractNum w:abstractNumId="11">
    <w:nsid w:val="2215379E"/>
    <w:multiLevelType w:val="multilevel"/>
    <w:tmpl w:val="765C3994"/>
    <w:styleLink w:val="ListNumbers"/>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964" w:hanging="396"/>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2">
    <w:nsid w:val="24CD10CE"/>
    <w:multiLevelType w:val="multilevel"/>
    <w:tmpl w:val="765C3994"/>
    <w:numStyleLink w:val="ListNumbers"/>
  </w:abstractNum>
  <w:abstractNum w:abstractNumId="13">
    <w:nsid w:val="267F01FD"/>
    <w:multiLevelType w:val="multilevel"/>
    <w:tmpl w:val="8C422AD8"/>
    <w:styleLink w:val="PullOutList"/>
    <w:lvl w:ilvl="0">
      <w:start w:val="1"/>
      <w:numFmt w:val="decimal"/>
      <w:pStyle w:val="PullOutNumber"/>
      <w:lvlText w:val="%1"/>
      <w:lvlJc w:val="left"/>
      <w:pPr>
        <w:ind w:left="284" w:hanging="284"/>
      </w:pPr>
      <w:rPr>
        <w:rFonts w:hint="default"/>
      </w:rPr>
    </w:lvl>
    <w:lvl w:ilvl="1">
      <w:start w:val="1"/>
      <w:numFmt w:val="none"/>
      <w:lvlText w:val=""/>
      <w:lvlJc w:val="left"/>
      <w:pPr>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8A8422C"/>
    <w:multiLevelType w:val="multilevel"/>
    <w:tmpl w:val="9300F730"/>
    <w:numStyleLink w:val="ListBullets"/>
  </w:abstractNum>
  <w:abstractNum w:abstractNumId="16">
    <w:nsid w:val="38FB35FA"/>
    <w:multiLevelType w:val="multilevel"/>
    <w:tmpl w:val="9300F730"/>
    <w:styleLink w:val="ListBullets"/>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8"/>
        </w:tabs>
        <w:ind w:left="568" w:hanging="284"/>
      </w:pPr>
      <w:rPr>
        <w:rFonts w:ascii="Arial" w:hAnsi="Arial" w:hint="default"/>
        <w:color w:val="2C2A29" w:themeColor="text2"/>
      </w:rPr>
    </w:lvl>
    <w:lvl w:ilvl="2">
      <w:start w:val="1"/>
      <w:numFmt w:val="bullet"/>
      <w:pStyle w:val="ListBullet3"/>
      <w:lvlText w:val=""/>
      <w:lvlJc w:val="left"/>
      <w:pPr>
        <w:tabs>
          <w:tab w:val="num" w:pos="852"/>
        </w:tabs>
        <w:ind w:left="852" w:hanging="284"/>
      </w:pPr>
      <w:rPr>
        <w:rFonts w:ascii="Wingdings" w:hAnsi="Wingdings" w:hint="default"/>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7">
    <w:nsid w:val="551F418F"/>
    <w:multiLevelType w:val="multilevel"/>
    <w:tmpl w:val="B7ACC106"/>
    <w:numStyleLink w:val="NubmeredHeadings"/>
  </w:abstractNum>
  <w:abstractNum w:abstractNumId="18">
    <w:nsid w:val="64C822E0"/>
    <w:multiLevelType w:val="multilevel"/>
    <w:tmpl w:val="765C3994"/>
    <w:numStyleLink w:val="ListNumbers"/>
  </w:abstractNum>
  <w:abstractNum w:abstractNumId="19">
    <w:nsid w:val="72D52456"/>
    <w:multiLevelType w:val="hybridMultilevel"/>
    <w:tmpl w:val="B39A9AA0"/>
    <w:lvl w:ilvl="0" w:tplc="7FA2FE5C">
      <w:start w:val="1"/>
      <w:numFmt w:val="bullet"/>
      <w:pStyle w:val="Table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457790E"/>
    <w:multiLevelType w:val="multilevel"/>
    <w:tmpl w:val="765C3994"/>
    <w:numStyleLink w:val="ListNumbers"/>
  </w:abstractNum>
  <w:num w:numId="1">
    <w:abstractNumId w:val="3"/>
  </w:num>
  <w:num w:numId="2">
    <w:abstractNumId w:val="2"/>
  </w:num>
  <w:num w:numId="3">
    <w:abstractNumId w:val="1"/>
  </w:num>
  <w:num w:numId="4">
    <w:abstractNumId w:val="0"/>
  </w:num>
  <w:num w:numId="5">
    <w:abstractNumId w:val="7"/>
  </w:num>
  <w:num w:numId="6">
    <w:abstractNumId w:val="14"/>
  </w:num>
  <w:num w:numId="7">
    <w:abstractNumId w:val="8"/>
  </w:num>
  <w:num w:numId="8">
    <w:abstractNumId w:val="9"/>
  </w:num>
  <w:num w:numId="9">
    <w:abstractNumId w:val="11"/>
  </w:num>
  <w:num w:numId="10">
    <w:abstractNumId w:val="19"/>
  </w:num>
  <w:num w:numId="11">
    <w:abstractNumId w:val="20"/>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7"/>
  </w:num>
  <w:num w:numId="16">
    <w:abstractNumId w:val="15"/>
  </w:num>
  <w:num w:numId="17">
    <w:abstractNumId w:val="18"/>
  </w:num>
  <w:num w:numId="18">
    <w:abstractNumId w:val="12"/>
  </w:num>
  <w:num w:numId="19">
    <w:abstractNumId w:val="10"/>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20"/>
  <w:noPunctuationKerning/>
  <w:characterSpacingControl w:val="doNotCompress"/>
  <w:hdrShapeDefaults>
    <o:shapedefaults v:ext="edit" spidmax="16385"/>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EE6"/>
    <w:rsid w:val="00002D6C"/>
    <w:rsid w:val="00003B3B"/>
    <w:rsid w:val="000045C0"/>
    <w:rsid w:val="00004801"/>
    <w:rsid w:val="00004EC6"/>
    <w:rsid w:val="000110B8"/>
    <w:rsid w:val="00013F2F"/>
    <w:rsid w:val="0001409F"/>
    <w:rsid w:val="00014915"/>
    <w:rsid w:val="00020FC9"/>
    <w:rsid w:val="000215FE"/>
    <w:rsid w:val="00022E12"/>
    <w:rsid w:val="0002316C"/>
    <w:rsid w:val="00023CC8"/>
    <w:rsid w:val="00024AEB"/>
    <w:rsid w:val="00031639"/>
    <w:rsid w:val="00037ED9"/>
    <w:rsid w:val="000423EB"/>
    <w:rsid w:val="00046882"/>
    <w:rsid w:val="00047873"/>
    <w:rsid w:val="00047ED9"/>
    <w:rsid w:val="0005129D"/>
    <w:rsid w:val="00053170"/>
    <w:rsid w:val="00054C04"/>
    <w:rsid w:val="00070395"/>
    <w:rsid w:val="000734BB"/>
    <w:rsid w:val="00076B00"/>
    <w:rsid w:val="00084C68"/>
    <w:rsid w:val="00093181"/>
    <w:rsid w:val="00093D6F"/>
    <w:rsid w:val="0009638E"/>
    <w:rsid w:val="000964FA"/>
    <w:rsid w:val="000A228B"/>
    <w:rsid w:val="000A230F"/>
    <w:rsid w:val="000A4A09"/>
    <w:rsid w:val="000A671C"/>
    <w:rsid w:val="000B1024"/>
    <w:rsid w:val="000B20BE"/>
    <w:rsid w:val="000B24AA"/>
    <w:rsid w:val="000B7597"/>
    <w:rsid w:val="000C550D"/>
    <w:rsid w:val="000C6BCD"/>
    <w:rsid w:val="000C72C7"/>
    <w:rsid w:val="000D1BC1"/>
    <w:rsid w:val="000D3D68"/>
    <w:rsid w:val="000D611C"/>
    <w:rsid w:val="000E4A5D"/>
    <w:rsid w:val="000E5DD0"/>
    <w:rsid w:val="000E69BE"/>
    <w:rsid w:val="000E6A9F"/>
    <w:rsid w:val="000E771D"/>
    <w:rsid w:val="000F0051"/>
    <w:rsid w:val="000F152C"/>
    <w:rsid w:val="000F420F"/>
    <w:rsid w:val="000F44BB"/>
    <w:rsid w:val="000F6618"/>
    <w:rsid w:val="001013D3"/>
    <w:rsid w:val="00103006"/>
    <w:rsid w:val="001031D2"/>
    <w:rsid w:val="0010753D"/>
    <w:rsid w:val="001102FE"/>
    <w:rsid w:val="00114171"/>
    <w:rsid w:val="00116B1D"/>
    <w:rsid w:val="001208E1"/>
    <w:rsid w:val="00120D26"/>
    <w:rsid w:val="00121728"/>
    <w:rsid w:val="00124CBE"/>
    <w:rsid w:val="00124F4C"/>
    <w:rsid w:val="00131883"/>
    <w:rsid w:val="00131BB0"/>
    <w:rsid w:val="0013698D"/>
    <w:rsid w:val="00137984"/>
    <w:rsid w:val="00143AE5"/>
    <w:rsid w:val="0014781B"/>
    <w:rsid w:val="0015245A"/>
    <w:rsid w:val="0015702B"/>
    <w:rsid w:val="00157F4F"/>
    <w:rsid w:val="00160B63"/>
    <w:rsid w:val="00165085"/>
    <w:rsid w:val="0016693B"/>
    <w:rsid w:val="00167CB6"/>
    <w:rsid w:val="0017119E"/>
    <w:rsid w:val="00174530"/>
    <w:rsid w:val="00177077"/>
    <w:rsid w:val="00177264"/>
    <w:rsid w:val="00177FD5"/>
    <w:rsid w:val="0018278D"/>
    <w:rsid w:val="00182AFB"/>
    <w:rsid w:val="00184205"/>
    <w:rsid w:val="0019255E"/>
    <w:rsid w:val="00193CEC"/>
    <w:rsid w:val="00194D01"/>
    <w:rsid w:val="00195762"/>
    <w:rsid w:val="00195F27"/>
    <w:rsid w:val="00196F06"/>
    <w:rsid w:val="001A04C8"/>
    <w:rsid w:val="001A0BAC"/>
    <w:rsid w:val="001A1D62"/>
    <w:rsid w:val="001A2C8A"/>
    <w:rsid w:val="001A64AB"/>
    <w:rsid w:val="001B4C0E"/>
    <w:rsid w:val="001C097A"/>
    <w:rsid w:val="001C3A10"/>
    <w:rsid w:val="001C4AAF"/>
    <w:rsid w:val="001C58D8"/>
    <w:rsid w:val="001D132D"/>
    <w:rsid w:val="001D2C6F"/>
    <w:rsid w:val="001D3E1C"/>
    <w:rsid w:val="001D644E"/>
    <w:rsid w:val="001D67E8"/>
    <w:rsid w:val="001D6934"/>
    <w:rsid w:val="001D696E"/>
    <w:rsid w:val="001E1FE4"/>
    <w:rsid w:val="001E28A2"/>
    <w:rsid w:val="001E458B"/>
    <w:rsid w:val="001E5C0F"/>
    <w:rsid w:val="001E6150"/>
    <w:rsid w:val="001F2103"/>
    <w:rsid w:val="001F443D"/>
    <w:rsid w:val="001F5A9F"/>
    <w:rsid w:val="002021FE"/>
    <w:rsid w:val="0020430C"/>
    <w:rsid w:val="0021668D"/>
    <w:rsid w:val="00217E74"/>
    <w:rsid w:val="00224E5C"/>
    <w:rsid w:val="00230CAD"/>
    <w:rsid w:val="00235429"/>
    <w:rsid w:val="00236770"/>
    <w:rsid w:val="00237E80"/>
    <w:rsid w:val="00240484"/>
    <w:rsid w:val="002414B7"/>
    <w:rsid w:val="00241B9E"/>
    <w:rsid w:val="00242EE6"/>
    <w:rsid w:val="00243F1A"/>
    <w:rsid w:val="00245C2F"/>
    <w:rsid w:val="002462B5"/>
    <w:rsid w:val="00250BD5"/>
    <w:rsid w:val="002539D6"/>
    <w:rsid w:val="00266EB3"/>
    <w:rsid w:val="00266F12"/>
    <w:rsid w:val="00274D9F"/>
    <w:rsid w:val="002752E0"/>
    <w:rsid w:val="00282486"/>
    <w:rsid w:val="00283724"/>
    <w:rsid w:val="00284F89"/>
    <w:rsid w:val="002858D0"/>
    <w:rsid w:val="00287E4E"/>
    <w:rsid w:val="00290028"/>
    <w:rsid w:val="0029485E"/>
    <w:rsid w:val="00297724"/>
    <w:rsid w:val="0029772F"/>
    <w:rsid w:val="002A21E7"/>
    <w:rsid w:val="002A6921"/>
    <w:rsid w:val="002A69B3"/>
    <w:rsid w:val="002C2E35"/>
    <w:rsid w:val="002C4797"/>
    <w:rsid w:val="002C58CA"/>
    <w:rsid w:val="002C6C9D"/>
    <w:rsid w:val="002D2ADF"/>
    <w:rsid w:val="002D35FA"/>
    <w:rsid w:val="002D3AB0"/>
    <w:rsid w:val="002E0612"/>
    <w:rsid w:val="002E33FF"/>
    <w:rsid w:val="002E5017"/>
    <w:rsid w:val="002E61F6"/>
    <w:rsid w:val="002E7A3D"/>
    <w:rsid w:val="002E7ADE"/>
    <w:rsid w:val="002F386C"/>
    <w:rsid w:val="002F423E"/>
    <w:rsid w:val="002F5B1B"/>
    <w:rsid w:val="002F792A"/>
    <w:rsid w:val="0030289E"/>
    <w:rsid w:val="00303E9D"/>
    <w:rsid w:val="00304BB6"/>
    <w:rsid w:val="0031110D"/>
    <w:rsid w:val="00312D17"/>
    <w:rsid w:val="00312E78"/>
    <w:rsid w:val="003167E6"/>
    <w:rsid w:val="0032514D"/>
    <w:rsid w:val="00325A69"/>
    <w:rsid w:val="003274EB"/>
    <w:rsid w:val="003326E2"/>
    <w:rsid w:val="00336E78"/>
    <w:rsid w:val="00340E37"/>
    <w:rsid w:val="00342A17"/>
    <w:rsid w:val="0034512E"/>
    <w:rsid w:val="00346949"/>
    <w:rsid w:val="003514B9"/>
    <w:rsid w:val="00351812"/>
    <w:rsid w:val="00355630"/>
    <w:rsid w:val="00357FC4"/>
    <w:rsid w:val="0036057C"/>
    <w:rsid w:val="003633D3"/>
    <w:rsid w:val="00363F67"/>
    <w:rsid w:val="00364089"/>
    <w:rsid w:val="00373ADD"/>
    <w:rsid w:val="00375EBF"/>
    <w:rsid w:val="00381130"/>
    <w:rsid w:val="00382D21"/>
    <w:rsid w:val="00383001"/>
    <w:rsid w:val="00383420"/>
    <w:rsid w:val="003900D9"/>
    <w:rsid w:val="00391A4F"/>
    <w:rsid w:val="00395355"/>
    <w:rsid w:val="003970BC"/>
    <w:rsid w:val="00397485"/>
    <w:rsid w:val="00397A9C"/>
    <w:rsid w:val="003A0E19"/>
    <w:rsid w:val="003A4EBF"/>
    <w:rsid w:val="003A781A"/>
    <w:rsid w:val="003B1E6A"/>
    <w:rsid w:val="003C03A5"/>
    <w:rsid w:val="003C5762"/>
    <w:rsid w:val="003D16D3"/>
    <w:rsid w:val="003D5F88"/>
    <w:rsid w:val="003E081D"/>
    <w:rsid w:val="003E3A89"/>
    <w:rsid w:val="003E55DA"/>
    <w:rsid w:val="003E66C9"/>
    <w:rsid w:val="003F362E"/>
    <w:rsid w:val="003F708D"/>
    <w:rsid w:val="003F7C2A"/>
    <w:rsid w:val="004031EB"/>
    <w:rsid w:val="00407AC7"/>
    <w:rsid w:val="00411196"/>
    <w:rsid w:val="00412B1D"/>
    <w:rsid w:val="004139D0"/>
    <w:rsid w:val="0041700B"/>
    <w:rsid w:val="00417203"/>
    <w:rsid w:val="0042026D"/>
    <w:rsid w:val="004213CE"/>
    <w:rsid w:val="00425F0B"/>
    <w:rsid w:val="00431F05"/>
    <w:rsid w:val="00445F7E"/>
    <w:rsid w:val="00452C91"/>
    <w:rsid w:val="00453506"/>
    <w:rsid w:val="00455ED8"/>
    <w:rsid w:val="00462A24"/>
    <w:rsid w:val="0046438E"/>
    <w:rsid w:val="00465D5A"/>
    <w:rsid w:val="00470E30"/>
    <w:rsid w:val="00472E31"/>
    <w:rsid w:val="00474474"/>
    <w:rsid w:val="004770CB"/>
    <w:rsid w:val="00477A57"/>
    <w:rsid w:val="0048181C"/>
    <w:rsid w:val="00483071"/>
    <w:rsid w:val="0048411C"/>
    <w:rsid w:val="00484AF9"/>
    <w:rsid w:val="004872E3"/>
    <w:rsid w:val="004905C4"/>
    <w:rsid w:val="00490D39"/>
    <w:rsid w:val="004926BC"/>
    <w:rsid w:val="00495D06"/>
    <w:rsid w:val="004971DD"/>
    <w:rsid w:val="004A0E9B"/>
    <w:rsid w:val="004A225D"/>
    <w:rsid w:val="004A3EBF"/>
    <w:rsid w:val="004A4065"/>
    <w:rsid w:val="004B6BF9"/>
    <w:rsid w:val="004B7680"/>
    <w:rsid w:val="004B7944"/>
    <w:rsid w:val="004C1560"/>
    <w:rsid w:val="004C1BB5"/>
    <w:rsid w:val="004C78DD"/>
    <w:rsid w:val="004D2509"/>
    <w:rsid w:val="004D65A9"/>
    <w:rsid w:val="004E04C2"/>
    <w:rsid w:val="004E0A68"/>
    <w:rsid w:val="004E17F8"/>
    <w:rsid w:val="004E2E09"/>
    <w:rsid w:val="004E32C1"/>
    <w:rsid w:val="004E49A9"/>
    <w:rsid w:val="004E586A"/>
    <w:rsid w:val="004F70AB"/>
    <w:rsid w:val="004F7883"/>
    <w:rsid w:val="004F7D00"/>
    <w:rsid w:val="005010D4"/>
    <w:rsid w:val="005043A2"/>
    <w:rsid w:val="00507CE0"/>
    <w:rsid w:val="005112E1"/>
    <w:rsid w:val="00512D06"/>
    <w:rsid w:val="005142DB"/>
    <w:rsid w:val="00514F65"/>
    <w:rsid w:val="0051652F"/>
    <w:rsid w:val="00516A7B"/>
    <w:rsid w:val="00516E94"/>
    <w:rsid w:val="0051722E"/>
    <w:rsid w:val="0052029D"/>
    <w:rsid w:val="005202F7"/>
    <w:rsid w:val="00524EFE"/>
    <w:rsid w:val="0053044D"/>
    <w:rsid w:val="00532A5F"/>
    <w:rsid w:val="00534072"/>
    <w:rsid w:val="00535C81"/>
    <w:rsid w:val="005363F1"/>
    <w:rsid w:val="00536566"/>
    <w:rsid w:val="0053656A"/>
    <w:rsid w:val="00540854"/>
    <w:rsid w:val="00553268"/>
    <w:rsid w:val="00561BC0"/>
    <w:rsid w:val="00562716"/>
    <w:rsid w:val="005630DA"/>
    <w:rsid w:val="0056349A"/>
    <w:rsid w:val="00570B35"/>
    <w:rsid w:val="00576A3E"/>
    <w:rsid w:val="0058102D"/>
    <w:rsid w:val="00584C43"/>
    <w:rsid w:val="00586CC2"/>
    <w:rsid w:val="0058700C"/>
    <w:rsid w:val="00587A41"/>
    <w:rsid w:val="00590DC5"/>
    <w:rsid w:val="00595144"/>
    <w:rsid w:val="005961FB"/>
    <w:rsid w:val="005A6C06"/>
    <w:rsid w:val="005A7F22"/>
    <w:rsid w:val="005B629D"/>
    <w:rsid w:val="005B7114"/>
    <w:rsid w:val="005C00DA"/>
    <w:rsid w:val="005C0CE7"/>
    <w:rsid w:val="005C0FF9"/>
    <w:rsid w:val="005C44E6"/>
    <w:rsid w:val="005C621D"/>
    <w:rsid w:val="005D012B"/>
    <w:rsid w:val="005D1644"/>
    <w:rsid w:val="005D190C"/>
    <w:rsid w:val="005D46F0"/>
    <w:rsid w:val="005D76B7"/>
    <w:rsid w:val="005E0DAC"/>
    <w:rsid w:val="005E0F19"/>
    <w:rsid w:val="00600B06"/>
    <w:rsid w:val="00602F33"/>
    <w:rsid w:val="00602F42"/>
    <w:rsid w:val="00611A7E"/>
    <w:rsid w:val="00611D8A"/>
    <w:rsid w:val="00617DBB"/>
    <w:rsid w:val="00621ED9"/>
    <w:rsid w:val="006232A2"/>
    <w:rsid w:val="00624F79"/>
    <w:rsid w:val="00625E35"/>
    <w:rsid w:val="006262E5"/>
    <w:rsid w:val="00627137"/>
    <w:rsid w:val="00630F96"/>
    <w:rsid w:val="00633A3A"/>
    <w:rsid w:val="00636068"/>
    <w:rsid w:val="006362B4"/>
    <w:rsid w:val="00636530"/>
    <w:rsid w:val="00640DB7"/>
    <w:rsid w:val="00644490"/>
    <w:rsid w:val="00645247"/>
    <w:rsid w:val="00645601"/>
    <w:rsid w:val="0065081B"/>
    <w:rsid w:val="0065344E"/>
    <w:rsid w:val="006557C8"/>
    <w:rsid w:val="006579C7"/>
    <w:rsid w:val="00661633"/>
    <w:rsid w:val="00661DEC"/>
    <w:rsid w:val="00664C6B"/>
    <w:rsid w:val="00664E4F"/>
    <w:rsid w:val="00674D57"/>
    <w:rsid w:val="00674DE8"/>
    <w:rsid w:val="006764C6"/>
    <w:rsid w:val="00680680"/>
    <w:rsid w:val="00683119"/>
    <w:rsid w:val="00685806"/>
    <w:rsid w:val="00695CBE"/>
    <w:rsid w:val="00696A41"/>
    <w:rsid w:val="006A0831"/>
    <w:rsid w:val="006A5BFB"/>
    <w:rsid w:val="006A7341"/>
    <w:rsid w:val="006A7EC1"/>
    <w:rsid w:val="006B0BD7"/>
    <w:rsid w:val="006B5F7A"/>
    <w:rsid w:val="006C40A9"/>
    <w:rsid w:val="006C4573"/>
    <w:rsid w:val="006D016D"/>
    <w:rsid w:val="006D1E86"/>
    <w:rsid w:val="006D1FE9"/>
    <w:rsid w:val="006D2F72"/>
    <w:rsid w:val="006E21A5"/>
    <w:rsid w:val="006E5680"/>
    <w:rsid w:val="006E58C9"/>
    <w:rsid w:val="006E6430"/>
    <w:rsid w:val="006E654A"/>
    <w:rsid w:val="006E7C2E"/>
    <w:rsid w:val="006F04FA"/>
    <w:rsid w:val="006F17A9"/>
    <w:rsid w:val="006F3291"/>
    <w:rsid w:val="006F4976"/>
    <w:rsid w:val="006F6A9E"/>
    <w:rsid w:val="006F6DFD"/>
    <w:rsid w:val="0070174D"/>
    <w:rsid w:val="0070180F"/>
    <w:rsid w:val="00702A9C"/>
    <w:rsid w:val="00703486"/>
    <w:rsid w:val="007047DF"/>
    <w:rsid w:val="007066C8"/>
    <w:rsid w:val="00707479"/>
    <w:rsid w:val="00711811"/>
    <w:rsid w:val="007144B6"/>
    <w:rsid w:val="00714D58"/>
    <w:rsid w:val="007215F8"/>
    <w:rsid w:val="00721D01"/>
    <w:rsid w:val="0072528B"/>
    <w:rsid w:val="007254E1"/>
    <w:rsid w:val="00726FEC"/>
    <w:rsid w:val="00727EA3"/>
    <w:rsid w:val="0073462B"/>
    <w:rsid w:val="007424D9"/>
    <w:rsid w:val="00744FA1"/>
    <w:rsid w:val="0074544A"/>
    <w:rsid w:val="007568EC"/>
    <w:rsid w:val="00756F4B"/>
    <w:rsid w:val="00764C65"/>
    <w:rsid w:val="00771992"/>
    <w:rsid w:val="00771C47"/>
    <w:rsid w:val="00772D18"/>
    <w:rsid w:val="007770FB"/>
    <w:rsid w:val="0077765E"/>
    <w:rsid w:val="0077793E"/>
    <w:rsid w:val="00780134"/>
    <w:rsid w:val="0078246F"/>
    <w:rsid w:val="00786995"/>
    <w:rsid w:val="00786A19"/>
    <w:rsid w:val="00790C86"/>
    <w:rsid w:val="0079253D"/>
    <w:rsid w:val="007927DC"/>
    <w:rsid w:val="007A11E1"/>
    <w:rsid w:val="007A302B"/>
    <w:rsid w:val="007A39D2"/>
    <w:rsid w:val="007A4ED9"/>
    <w:rsid w:val="007A58CF"/>
    <w:rsid w:val="007B20A4"/>
    <w:rsid w:val="007B66F1"/>
    <w:rsid w:val="007C0117"/>
    <w:rsid w:val="007C0F1C"/>
    <w:rsid w:val="007C2CE4"/>
    <w:rsid w:val="007D2BB2"/>
    <w:rsid w:val="007D7F96"/>
    <w:rsid w:val="007E2B15"/>
    <w:rsid w:val="007F0EEA"/>
    <w:rsid w:val="007F3017"/>
    <w:rsid w:val="007F7069"/>
    <w:rsid w:val="007F711C"/>
    <w:rsid w:val="00800286"/>
    <w:rsid w:val="00801A6E"/>
    <w:rsid w:val="00801EDD"/>
    <w:rsid w:val="008048FD"/>
    <w:rsid w:val="008056F7"/>
    <w:rsid w:val="00805F19"/>
    <w:rsid w:val="008064D9"/>
    <w:rsid w:val="008112BE"/>
    <w:rsid w:val="0081290D"/>
    <w:rsid w:val="00812C12"/>
    <w:rsid w:val="0081770D"/>
    <w:rsid w:val="0083076C"/>
    <w:rsid w:val="008324C4"/>
    <w:rsid w:val="00835336"/>
    <w:rsid w:val="00837C00"/>
    <w:rsid w:val="00840003"/>
    <w:rsid w:val="00841997"/>
    <w:rsid w:val="00844D3A"/>
    <w:rsid w:val="008555A9"/>
    <w:rsid w:val="00856668"/>
    <w:rsid w:val="00860F7D"/>
    <w:rsid w:val="00867EE1"/>
    <w:rsid w:val="0087373C"/>
    <w:rsid w:val="008739D9"/>
    <w:rsid w:val="00886977"/>
    <w:rsid w:val="00887629"/>
    <w:rsid w:val="0089314C"/>
    <w:rsid w:val="00896294"/>
    <w:rsid w:val="00896C80"/>
    <w:rsid w:val="008A0B9B"/>
    <w:rsid w:val="008A0D7D"/>
    <w:rsid w:val="008A2FDD"/>
    <w:rsid w:val="008A4A6C"/>
    <w:rsid w:val="008A672D"/>
    <w:rsid w:val="008A6764"/>
    <w:rsid w:val="008A7C70"/>
    <w:rsid w:val="008A7CBD"/>
    <w:rsid w:val="008B3869"/>
    <w:rsid w:val="008B3995"/>
    <w:rsid w:val="008B42D3"/>
    <w:rsid w:val="008C2D42"/>
    <w:rsid w:val="008C3EB9"/>
    <w:rsid w:val="008C718A"/>
    <w:rsid w:val="008D0932"/>
    <w:rsid w:val="008D192E"/>
    <w:rsid w:val="008D34D0"/>
    <w:rsid w:val="008D378F"/>
    <w:rsid w:val="008E2667"/>
    <w:rsid w:val="008E50B8"/>
    <w:rsid w:val="008E6B3E"/>
    <w:rsid w:val="008F0193"/>
    <w:rsid w:val="008F506C"/>
    <w:rsid w:val="008F7343"/>
    <w:rsid w:val="009107BA"/>
    <w:rsid w:val="009139D5"/>
    <w:rsid w:val="00915367"/>
    <w:rsid w:val="00932E3C"/>
    <w:rsid w:val="00937D2D"/>
    <w:rsid w:val="00937FAE"/>
    <w:rsid w:val="00941491"/>
    <w:rsid w:val="00946456"/>
    <w:rsid w:val="00946E85"/>
    <w:rsid w:val="00947372"/>
    <w:rsid w:val="009518B2"/>
    <w:rsid w:val="009519BD"/>
    <w:rsid w:val="009521DF"/>
    <w:rsid w:val="00952A6A"/>
    <w:rsid w:val="0096597E"/>
    <w:rsid w:val="00974BDC"/>
    <w:rsid w:val="00975E80"/>
    <w:rsid w:val="009774F9"/>
    <w:rsid w:val="00980B0F"/>
    <w:rsid w:val="009916C9"/>
    <w:rsid w:val="00994EB2"/>
    <w:rsid w:val="009967D6"/>
    <w:rsid w:val="009A1950"/>
    <w:rsid w:val="009A1B23"/>
    <w:rsid w:val="009A46FE"/>
    <w:rsid w:val="009A4AA1"/>
    <w:rsid w:val="009A7180"/>
    <w:rsid w:val="009B35D2"/>
    <w:rsid w:val="009B3C3F"/>
    <w:rsid w:val="009B3FDB"/>
    <w:rsid w:val="009B4A6E"/>
    <w:rsid w:val="009B5BD3"/>
    <w:rsid w:val="009B616F"/>
    <w:rsid w:val="009B7CEC"/>
    <w:rsid w:val="009C50B1"/>
    <w:rsid w:val="009C5917"/>
    <w:rsid w:val="009C711B"/>
    <w:rsid w:val="009D2D64"/>
    <w:rsid w:val="009D5F5C"/>
    <w:rsid w:val="009D6C63"/>
    <w:rsid w:val="009D7470"/>
    <w:rsid w:val="009E4546"/>
    <w:rsid w:val="009E4A65"/>
    <w:rsid w:val="009F0337"/>
    <w:rsid w:val="009F2195"/>
    <w:rsid w:val="009F4F91"/>
    <w:rsid w:val="009F7BFF"/>
    <w:rsid w:val="00A01F87"/>
    <w:rsid w:val="00A053CD"/>
    <w:rsid w:val="00A0636D"/>
    <w:rsid w:val="00A13CE4"/>
    <w:rsid w:val="00A142E4"/>
    <w:rsid w:val="00A2153D"/>
    <w:rsid w:val="00A24131"/>
    <w:rsid w:val="00A25F48"/>
    <w:rsid w:val="00A30FF6"/>
    <w:rsid w:val="00A3303A"/>
    <w:rsid w:val="00A36EDA"/>
    <w:rsid w:val="00A4001A"/>
    <w:rsid w:val="00A426E9"/>
    <w:rsid w:val="00A430C4"/>
    <w:rsid w:val="00A43A40"/>
    <w:rsid w:val="00A53568"/>
    <w:rsid w:val="00A53990"/>
    <w:rsid w:val="00A53A88"/>
    <w:rsid w:val="00A55018"/>
    <w:rsid w:val="00A55B76"/>
    <w:rsid w:val="00A6014C"/>
    <w:rsid w:val="00A6237A"/>
    <w:rsid w:val="00A658E4"/>
    <w:rsid w:val="00A824FB"/>
    <w:rsid w:val="00A85E00"/>
    <w:rsid w:val="00A91D65"/>
    <w:rsid w:val="00A92C0B"/>
    <w:rsid w:val="00A93565"/>
    <w:rsid w:val="00A9491A"/>
    <w:rsid w:val="00A95078"/>
    <w:rsid w:val="00A95358"/>
    <w:rsid w:val="00A95D4E"/>
    <w:rsid w:val="00AA1DA2"/>
    <w:rsid w:val="00AA7B23"/>
    <w:rsid w:val="00AB16E4"/>
    <w:rsid w:val="00AB1C9E"/>
    <w:rsid w:val="00AB3D0A"/>
    <w:rsid w:val="00AB3F7E"/>
    <w:rsid w:val="00AB7E66"/>
    <w:rsid w:val="00AC1382"/>
    <w:rsid w:val="00AC3F6D"/>
    <w:rsid w:val="00AC786E"/>
    <w:rsid w:val="00AD00CD"/>
    <w:rsid w:val="00AD162A"/>
    <w:rsid w:val="00AD7A65"/>
    <w:rsid w:val="00AE14E4"/>
    <w:rsid w:val="00AE6D02"/>
    <w:rsid w:val="00AE6D6B"/>
    <w:rsid w:val="00AF0741"/>
    <w:rsid w:val="00AF46BF"/>
    <w:rsid w:val="00AF6C60"/>
    <w:rsid w:val="00AF725B"/>
    <w:rsid w:val="00B0027B"/>
    <w:rsid w:val="00B0057D"/>
    <w:rsid w:val="00B02024"/>
    <w:rsid w:val="00B03BD6"/>
    <w:rsid w:val="00B03EC8"/>
    <w:rsid w:val="00B0457F"/>
    <w:rsid w:val="00B11AE9"/>
    <w:rsid w:val="00B22430"/>
    <w:rsid w:val="00B239C5"/>
    <w:rsid w:val="00B23A32"/>
    <w:rsid w:val="00B23C16"/>
    <w:rsid w:val="00B24BA1"/>
    <w:rsid w:val="00B26F3A"/>
    <w:rsid w:val="00B27197"/>
    <w:rsid w:val="00B303E2"/>
    <w:rsid w:val="00B3081C"/>
    <w:rsid w:val="00B32512"/>
    <w:rsid w:val="00B330EB"/>
    <w:rsid w:val="00B356A5"/>
    <w:rsid w:val="00B3609C"/>
    <w:rsid w:val="00B40936"/>
    <w:rsid w:val="00B45A2A"/>
    <w:rsid w:val="00B533DF"/>
    <w:rsid w:val="00B53BC1"/>
    <w:rsid w:val="00B53CDF"/>
    <w:rsid w:val="00B5594A"/>
    <w:rsid w:val="00B633EE"/>
    <w:rsid w:val="00B6340E"/>
    <w:rsid w:val="00B64CC4"/>
    <w:rsid w:val="00B75192"/>
    <w:rsid w:val="00B75366"/>
    <w:rsid w:val="00B75C0A"/>
    <w:rsid w:val="00B81F1F"/>
    <w:rsid w:val="00B8268F"/>
    <w:rsid w:val="00B83F18"/>
    <w:rsid w:val="00B85060"/>
    <w:rsid w:val="00B873BB"/>
    <w:rsid w:val="00B874F2"/>
    <w:rsid w:val="00B90E8D"/>
    <w:rsid w:val="00B955C8"/>
    <w:rsid w:val="00BA6024"/>
    <w:rsid w:val="00BA7037"/>
    <w:rsid w:val="00BB6268"/>
    <w:rsid w:val="00BC27E6"/>
    <w:rsid w:val="00BC4314"/>
    <w:rsid w:val="00BD097C"/>
    <w:rsid w:val="00BD3599"/>
    <w:rsid w:val="00BD667F"/>
    <w:rsid w:val="00BE0C68"/>
    <w:rsid w:val="00BE1136"/>
    <w:rsid w:val="00BE2316"/>
    <w:rsid w:val="00BE23D5"/>
    <w:rsid w:val="00BE33A5"/>
    <w:rsid w:val="00BE521B"/>
    <w:rsid w:val="00BE70FF"/>
    <w:rsid w:val="00BF1407"/>
    <w:rsid w:val="00BF2512"/>
    <w:rsid w:val="00BF583D"/>
    <w:rsid w:val="00C0102E"/>
    <w:rsid w:val="00C05F0F"/>
    <w:rsid w:val="00C117D9"/>
    <w:rsid w:val="00C1480B"/>
    <w:rsid w:val="00C14E88"/>
    <w:rsid w:val="00C1527C"/>
    <w:rsid w:val="00C15F7E"/>
    <w:rsid w:val="00C1677C"/>
    <w:rsid w:val="00C20D44"/>
    <w:rsid w:val="00C22CA3"/>
    <w:rsid w:val="00C2790C"/>
    <w:rsid w:val="00C30E16"/>
    <w:rsid w:val="00C32592"/>
    <w:rsid w:val="00C3425E"/>
    <w:rsid w:val="00C36293"/>
    <w:rsid w:val="00C37116"/>
    <w:rsid w:val="00C41707"/>
    <w:rsid w:val="00C43E38"/>
    <w:rsid w:val="00C4459B"/>
    <w:rsid w:val="00C50144"/>
    <w:rsid w:val="00C50885"/>
    <w:rsid w:val="00C51DEF"/>
    <w:rsid w:val="00C63303"/>
    <w:rsid w:val="00C70CCB"/>
    <w:rsid w:val="00C74CF6"/>
    <w:rsid w:val="00C76258"/>
    <w:rsid w:val="00C82030"/>
    <w:rsid w:val="00C84A21"/>
    <w:rsid w:val="00C84B5F"/>
    <w:rsid w:val="00C878D3"/>
    <w:rsid w:val="00C9039B"/>
    <w:rsid w:val="00C9107D"/>
    <w:rsid w:val="00CA190B"/>
    <w:rsid w:val="00CA49E1"/>
    <w:rsid w:val="00CA684E"/>
    <w:rsid w:val="00CB0317"/>
    <w:rsid w:val="00CB0D24"/>
    <w:rsid w:val="00CB4333"/>
    <w:rsid w:val="00CC2987"/>
    <w:rsid w:val="00CC2D75"/>
    <w:rsid w:val="00CC557C"/>
    <w:rsid w:val="00CC5587"/>
    <w:rsid w:val="00CC6F9F"/>
    <w:rsid w:val="00CD35AB"/>
    <w:rsid w:val="00CD5A86"/>
    <w:rsid w:val="00CD5CE6"/>
    <w:rsid w:val="00CE5710"/>
    <w:rsid w:val="00CE57A5"/>
    <w:rsid w:val="00CE7583"/>
    <w:rsid w:val="00CF46F2"/>
    <w:rsid w:val="00CF5FCA"/>
    <w:rsid w:val="00CF65AF"/>
    <w:rsid w:val="00CF7BCD"/>
    <w:rsid w:val="00CF7E4E"/>
    <w:rsid w:val="00D06023"/>
    <w:rsid w:val="00D114B6"/>
    <w:rsid w:val="00D14D2B"/>
    <w:rsid w:val="00D15E5B"/>
    <w:rsid w:val="00D168D5"/>
    <w:rsid w:val="00D2084B"/>
    <w:rsid w:val="00D248DB"/>
    <w:rsid w:val="00D25C27"/>
    <w:rsid w:val="00D2638C"/>
    <w:rsid w:val="00D274DF"/>
    <w:rsid w:val="00D340CC"/>
    <w:rsid w:val="00D36786"/>
    <w:rsid w:val="00D403A8"/>
    <w:rsid w:val="00D425CA"/>
    <w:rsid w:val="00D426EC"/>
    <w:rsid w:val="00D42EA1"/>
    <w:rsid w:val="00D44B8C"/>
    <w:rsid w:val="00D45FA1"/>
    <w:rsid w:val="00D468F1"/>
    <w:rsid w:val="00D50CFD"/>
    <w:rsid w:val="00D52270"/>
    <w:rsid w:val="00D579F9"/>
    <w:rsid w:val="00D63624"/>
    <w:rsid w:val="00D63988"/>
    <w:rsid w:val="00D7047C"/>
    <w:rsid w:val="00D70F52"/>
    <w:rsid w:val="00D7134F"/>
    <w:rsid w:val="00D72571"/>
    <w:rsid w:val="00D72E2C"/>
    <w:rsid w:val="00D73E00"/>
    <w:rsid w:val="00D74098"/>
    <w:rsid w:val="00D822FA"/>
    <w:rsid w:val="00D82441"/>
    <w:rsid w:val="00D9246E"/>
    <w:rsid w:val="00D92BF3"/>
    <w:rsid w:val="00D95878"/>
    <w:rsid w:val="00D9626C"/>
    <w:rsid w:val="00D96E58"/>
    <w:rsid w:val="00D97E11"/>
    <w:rsid w:val="00DA16EC"/>
    <w:rsid w:val="00DA22C7"/>
    <w:rsid w:val="00DA378F"/>
    <w:rsid w:val="00DA4DAB"/>
    <w:rsid w:val="00DA5A57"/>
    <w:rsid w:val="00DA6AE8"/>
    <w:rsid w:val="00DA6F0E"/>
    <w:rsid w:val="00DB1872"/>
    <w:rsid w:val="00DB6462"/>
    <w:rsid w:val="00DC1FD9"/>
    <w:rsid w:val="00DC3CED"/>
    <w:rsid w:val="00DC5519"/>
    <w:rsid w:val="00DC57F2"/>
    <w:rsid w:val="00DC7568"/>
    <w:rsid w:val="00DC7AF4"/>
    <w:rsid w:val="00DD6E7E"/>
    <w:rsid w:val="00DE1F69"/>
    <w:rsid w:val="00DE23F2"/>
    <w:rsid w:val="00DE7118"/>
    <w:rsid w:val="00DE7A79"/>
    <w:rsid w:val="00DF0394"/>
    <w:rsid w:val="00DF26AB"/>
    <w:rsid w:val="00DF557E"/>
    <w:rsid w:val="00E00EF9"/>
    <w:rsid w:val="00E02CC6"/>
    <w:rsid w:val="00E06753"/>
    <w:rsid w:val="00E1457C"/>
    <w:rsid w:val="00E14680"/>
    <w:rsid w:val="00E317C4"/>
    <w:rsid w:val="00E33233"/>
    <w:rsid w:val="00E33DBF"/>
    <w:rsid w:val="00E35535"/>
    <w:rsid w:val="00E379B0"/>
    <w:rsid w:val="00E44353"/>
    <w:rsid w:val="00E45939"/>
    <w:rsid w:val="00E4723C"/>
    <w:rsid w:val="00E52B69"/>
    <w:rsid w:val="00E56BA0"/>
    <w:rsid w:val="00E67713"/>
    <w:rsid w:val="00E746B8"/>
    <w:rsid w:val="00E804C9"/>
    <w:rsid w:val="00E8101B"/>
    <w:rsid w:val="00E81A64"/>
    <w:rsid w:val="00E875CE"/>
    <w:rsid w:val="00E97D9C"/>
    <w:rsid w:val="00EA20C0"/>
    <w:rsid w:val="00EA5845"/>
    <w:rsid w:val="00EA58A0"/>
    <w:rsid w:val="00EB15D3"/>
    <w:rsid w:val="00EB1AE1"/>
    <w:rsid w:val="00EB2235"/>
    <w:rsid w:val="00EB35ED"/>
    <w:rsid w:val="00EC20EF"/>
    <w:rsid w:val="00EC3581"/>
    <w:rsid w:val="00EC3592"/>
    <w:rsid w:val="00EC61FE"/>
    <w:rsid w:val="00EC7B66"/>
    <w:rsid w:val="00ED08E9"/>
    <w:rsid w:val="00ED2214"/>
    <w:rsid w:val="00ED2E0F"/>
    <w:rsid w:val="00ED519E"/>
    <w:rsid w:val="00ED54C8"/>
    <w:rsid w:val="00ED6795"/>
    <w:rsid w:val="00EE2D7C"/>
    <w:rsid w:val="00EE3284"/>
    <w:rsid w:val="00EE40CD"/>
    <w:rsid w:val="00EE4F41"/>
    <w:rsid w:val="00EE6E98"/>
    <w:rsid w:val="00EF186C"/>
    <w:rsid w:val="00EF18A1"/>
    <w:rsid w:val="00EF25BA"/>
    <w:rsid w:val="00EF4178"/>
    <w:rsid w:val="00EF57A4"/>
    <w:rsid w:val="00EF59F0"/>
    <w:rsid w:val="00F0077B"/>
    <w:rsid w:val="00F01CCF"/>
    <w:rsid w:val="00F02774"/>
    <w:rsid w:val="00F044EC"/>
    <w:rsid w:val="00F04A20"/>
    <w:rsid w:val="00F04B7F"/>
    <w:rsid w:val="00F04D3B"/>
    <w:rsid w:val="00F05263"/>
    <w:rsid w:val="00F061A8"/>
    <w:rsid w:val="00F111A3"/>
    <w:rsid w:val="00F153A1"/>
    <w:rsid w:val="00F215D1"/>
    <w:rsid w:val="00F22367"/>
    <w:rsid w:val="00F22D46"/>
    <w:rsid w:val="00F3077A"/>
    <w:rsid w:val="00F31873"/>
    <w:rsid w:val="00F3334C"/>
    <w:rsid w:val="00F34340"/>
    <w:rsid w:val="00F34B5A"/>
    <w:rsid w:val="00F34D72"/>
    <w:rsid w:val="00F36221"/>
    <w:rsid w:val="00F4033C"/>
    <w:rsid w:val="00F43CE3"/>
    <w:rsid w:val="00F44116"/>
    <w:rsid w:val="00F451EE"/>
    <w:rsid w:val="00F459CA"/>
    <w:rsid w:val="00F55A80"/>
    <w:rsid w:val="00F56432"/>
    <w:rsid w:val="00F56A75"/>
    <w:rsid w:val="00F602EF"/>
    <w:rsid w:val="00F65E9B"/>
    <w:rsid w:val="00F6698C"/>
    <w:rsid w:val="00F7070E"/>
    <w:rsid w:val="00F73E49"/>
    <w:rsid w:val="00F7619E"/>
    <w:rsid w:val="00F77125"/>
    <w:rsid w:val="00F838AB"/>
    <w:rsid w:val="00F867D6"/>
    <w:rsid w:val="00F94270"/>
    <w:rsid w:val="00F9506A"/>
    <w:rsid w:val="00F97C9F"/>
    <w:rsid w:val="00FA2694"/>
    <w:rsid w:val="00FA2756"/>
    <w:rsid w:val="00FA3732"/>
    <w:rsid w:val="00FA4413"/>
    <w:rsid w:val="00FA4FA2"/>
    <w:rsid w:val="00FB269B"/>
    <w:rsid w:val="00FB35A6"/>
    <w:rsid w:val="00FB57B3"/>
    <w:rsid w:val="00FB6996"/>
    <w:rsid w:val="00FB6D77"/>
    <w:rsid w:val="00FC05E8"/>
    <w:rsid w:val="00FC0CCD"/>
    <w:rsid w:val="00FC0D4C"/>
    <w:rsid w:val="00FC7EEA"/>
    <w:rsid w:val="00FC7F53"/>
    <w:rsid w:val="00FD2B78"/>
    <w:rsid w:val="00FD370B"/>
    <w:rsid w:val="00FD576E"/>
    <w:rsid w:val="00FD7AFD"/>
    <w:rsid w:val="00FE149E"/>
    <w:rsid w:val="00FE165B"/>
    <w:rsid w:val="00FE2FBD"/>
    <w:rsid w:val="00FE5F09"/>
    <w:rsid w:val="00FE6A4B"/>
    <w:rsid w:val="00FE6C57"/>
    <w:rsid w:val="00FF733F"/>
    <w:rsid w:val="00FF7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8"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lsdException w:name="heading 7" w:uiPriority="1"/>
    <w:lsdException w:name="heading 8" w:uiPriority="1"/>
    <w:lsdException w:name="heading 9" w:uiPriority="1"/>
    <w:lsdException w:name="index 1" w:uiPriority="97"/>
    <w:lsdException w:name="index 2" w:uiPriority="97"/>
    <w:lsdException w:name="index 3" w:uiPriority="97"/>
    <w:lsdException w:name="index 4" w:uiPriority="97"/>
    <w:lsdException w:name="index 5" w:uiPriority="97"/>
    <w:lsdException w:name="index 6" w:uiPriority="97"/>
    <w:lsdException w:name="index 7" w:uiPriority="97"/>
    <w:lsdException w:name="index 8" w:uiPriority="97"/>
    <w:lsdException w:name="index 9" w:uiPriority="97"/>
    <w:lsdException w:name="toc 1" w:uiPriority="39"/>
    <w:lsdException w:name="toc 2" w:uiPriority="39"/>
    <w:lsdException w:name="toc 3" w:uiPriority="39"/>
    <w:lsdException w:name="toc 4" w:uiPriority="97"/>
    <w:lsdException w:name="toc 5" w:uiPriority="97"/>
    <w:lsdException w:name="toc 6" w:uiPriority="97"/>
    <w:lsdException w:name="toc 7" w:uiPriority="97"/>
    <w:lsdException w:name="toc 8" w:uiPriority="97"/>
    <w:lsdException w:name="toc 9" w:uiPriority="97"/>
    <w:lsdException w:name="Normal Indent" w:uiPriority="0"/>
    <w:lsdException w:name="footnote text" w:uiPriority="97"/>
    <w:lsdException w:name="annotation text" w:uiPriority="97"/>
    <w:lsdException w:name="header" w:uiPriority="99"/>
    <w:lsdException w:name="footer" w:uiPriority="9"/>
    <w:lsdException w:name="index heading" w:uiPriority="97"/>
    <w:lsdException w:name="caption" w:uiPriority="11" w:qFormat="1"/>
    <w:lsdException w:name="table of figures" w:uiPriority="97"/>
    <w:lsdException w:name="envelope address" w:uiPriority="97"/>
    <w:lsdException w:name="envelope return" w:uiPriority="97"/>
    <w:lsdException w:name="footnote reference" w:uiPriority="97"/>
    <w:lsdException w:name="annotation reference" w:uiPriority="97"/>
    <w:lsdException w:name="line number" w:uiPriority="97"/>
    <w:lsdException w:name="page number" w:uiPriority="97"/>
    <w:lsdException w:name="endnote reference" w:uiPriority="97"/>
    <w:lsdException w:name="endnote text" w:uiPriority="97"/>
    <w:lsdException w:name="table of authorities" w:uiPriority="97"/>
    <w:lsdException w:name="macro" w:uiPriority="97"/>
    <w:lsdException w:name="toa heading" w:uiPriority="97"/>
    <w:lsdException w:name="List" w:uiPriority="4"/>
    <w:lsdException w:name="List Bullet" w:uiPriority="2" w:qFormat="1"/>
    <w:lsdException w:name="List Number" w:semiHidden="0" w:uiPriority="3" w:unhideWhenUsed="0" w:qFormat="1"/>
    <w:lsdException w:name="List 2" w:uiPriority="4"/>
    <w:lsdException w:name="List 3" w:uiPriority="4"/>
    <w:lsdException w:name="List 4" w:semiHidden="0" w:uiPriority="4" w:unhideWhenUsed="0"/>
    <w:lsdException w:name="List 5" w:uiPriority="4" w:unhideWhenUsed="0"/>
    <w:lsdException w:name="List Bullet 2" w:uiPriority="2" w:qFormat="1"/>
    <w:lsdException w:name="List Bullet 3" w:uiPriority="2"/>
    <w:lsdException w:name="List Bullet 4" w:uiPriority="2"/>
    <w:lsdException w:name="List Bullet 5" w:uiPriority="2"/>
    <w:lsdException w:name="List Number 2" w:uiPriority="3" w:qFormat="1"/>
    <w:lsdException w:name="List Number 3" w:uiPriority="3"/>
    <w:lsdException w:name="List Number 4" w:uiPriority="3"/>
    <w:lsdException w:name="List Number 5" w:uiPriority="3"/>
    <w:lsdException w:name="Title" w:semiHidden="0" w:uiPriority="97" w:unhideWhenUsed="0"/>
    <w:lsdException w:name="Closing" w:uiPriority="97"/>
    <w:lsdException w:name="Signature" w:uiPriority="97"/>
    <w:lsdException w:name="Default Paragraph Font" w:uiPriority="97"/>
    <w:lsdException w:name="Body Text" w:uiPriority="97"/>
    <w:lsdException w:name="Body Text Indent" w:uiPriority="97"/>
    <w:lsdException w:name="List Continue" w:uiPriority="10"/>
    <w:lsdException w:name="List Continue 2" w:uiPriority="10"/>
    <w:lsdException w:name="List Continue 3" w:uiPriority="10"/>
    <w:lsdException w:name="List Continue 4" w:uiPriority="10"/>
    <w:lsdException w:name="List Continue 5" w:uiPriority="10"/>
    <w:lsdException w:name="Message Header" w:uiPriority="97"/>
    <w:lsdException w:name="Subtitle" w:semiHidden="0" w:uiPriority="97" w:unhideWhenUsed="0"/>
    <w:lsdException w:name="Salutation" w:semiHidden="0" w:uiPriority="97" w:unhideWhenUsed="0"/>
    <w:lsdException w:name="Date" w:semiHidden="0" w:uiPriority="97" w:unhideWhenUsed="0"/>
    <w:lsdException w:name="Body Text First Indent" w:semiHidden="0" w:uiPriority="97" w:unhideWhenUsed="0"/>
    <w:lsdException w:name="Body Text First Indent 2" w:uiPriority="97"/>
    <w:lsdException w:name="Note Heading" w:uiPriority="97"/>
    <w:lsdException w:name="Body Text 2" w:uiPriority="97"/>
    <w:lsdException w:name="Body Text 3" w:uiPriority="97"/>
    <w:lsdException w:name="Body Text Indent 2" w:uiPriority="97"/>
    <w:lsdException w:name="Body Text Indent 3" w:uiPriority="97"/>
    <w:lsdException w:name="Block Text" w:uiPriority="97"/>
    <w:lsdException w:name="Hyperlink" w:uiPriority="97"/>
    <w:lsdException w:name="FollowedHyperlink" w:uiPriority="97"/>
    <w:lsdException w:name="Strong" w:semiHidden="0" w:uiPriority="97" w:unhideWhenUsed="0"/>
    <w:lsdException w:name="Emphasis" w:semiHidden="0" w:uiPriority="97" w:unhideWhenUsed="0"/>
    <w:lsdException w:name="Document Map" w:uiPriority="97"/>
    <w:lsdException w:name="Plain Text" w:uiPriority="97"/>
    <w:lsdException w:name="E-mail Signature" w:uiPriority="97"/>
    <w:lsdException w:name="HTML Top of Form" w:uiPriority="0"/>
    <w:lsdException w:name="HTML Bottom of Form" w:uiPriority="0"/>
    <w:lsdException w:name="Normal (Web)" w:uiPriority="0"/>
    <w:lsdException w:name="HTML Acronym" w:uiPriority="97"/>
    <w:lsdException w:name="HTML Address" w:uiPriority="97"/>
    <w:lsdException w:name="HTML Cite" w:uiPriority="97"/>
    <w:lsdException w:name="HTML Code" w:uiPriority="97"/>
    <w:lsdException w:name="HTML Definition" w:uiPriority="97"/>
    <w:lsdException w:name="HTML Keyboard" w:uiPriority="97"/>
    <w:lsdException w:name="HTML Preformatted" w:uiPriority="97"/>
    <w:lsdException w:name="HTML Sample" w:uiPriority="97"/>
    <w:lsdException w:name="HTML Typewriter" w:uiPriority="97"/>
    <w:lsdException w:name="HTML Variable" w:uiPriority="97"/>
    <w:lsdException w:name="annotation subject" w:uiPriority="97"/>
    <w:lsdException w:name="No List" w:uiPriority="97"/>
    <w:lsdException w:name="Outline List 1" w:uiPriority="97"/>
    <w:lsdException w:name="Outline List 2" w:uiPriority="97"/>
    <w:lsdException w:name="Outline List 3" w:uiPriority="97"/>
    <w:lsdException w:name="Balloon Text" w:uiPriority="97"/>
    <w:lsdException w:name="Table Grid" w:semiHidden="0" w:unhideWhenUsed="0"/>
    <w:lsdException w:name="Placeholder Text" w:uiPriority="11" w:unhideWhenUsed="0"/>
    <w:lsdException w:name="No Spacing" w:semiHidden="0" w:uiPriority="97"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4" w:unhideWhenUsed="0"/>
    <w:lsdException w:name="Quote" w:semiHidden="0" w:uiPriority="97" w:unhideWhenUsed="0"/>
    <w:lsdException w:name="Intense Quote" w:semiHidden="0" w:uiPriority="97"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97" w:unhideWhenUsed="0"/>
    <w:lsdException w:name="Intense Emphasis" w:semiHidden="0" w:uiPriority="97" w:unhideWhenUsed="0"/>
    <w:lsdException w:name="Subtle Reference" w:semiHidden="0" w:uiPriority="97" w:unhideWhenUsed="0"/>
    <w:lsdException w:name="Intense Reference" w:semiHidden="0" w:uiPriority="97" w:unhideWhenUsed="0"/>
    <w:lsdException w:name="Book Title" w:semiHidden="0" w:uiPriority="97" w:unhideWhenUsed="0"/>
    <w:lsdException w:name="Bibliography" w:uiPriority="97"/>
    <w:lsdException w:name="TOC Heading" w:uiPriority="97"/>
  </w:latentStyles>
  <w:style w:type="paragraph" w:default="1" w:styleId="Normal">
    <w:name w:val="Normal"/>
    <w:qFormat/>
    <w:rsid w:val="001D3E1C"/>
    <w:pPr>
      <w:adjustRightInd w:val="0"/>
      <w:snapToGrid w:val="0"/>
      <w:spacing w:after="170" w:line="260" w:lineRule="atLeast"/>
    </w:pPr>
    <w:rPr>
      <w:rFonts w:asciiTheme="minorHAnsi" w:eastAsia="MS Mincho" w:hAnsiTheme="minorHAnsi"/>
      <w:color w:val="2C2A29" w:themeColor="text2"/>
      <w:lang w:val="en-AU" w:eastAsia="ja-JP"/>
    </w:rPr>
  </w:style>
  <w:style w:type="paragraph" w:styleId="Heading1">
    <w:name w:val="heading 1"/>
    <w:basedOn w:val="Normal"/>
    <w:next w:val="Normal"/>
    <w:uiPriority w:val="1"/>
    <w:qFormat/>
    <w:rsid w:val="00EE2D7C"/>
    <w:pPr>
      <w:keepNext/>
      <w:tabs>
        <w:tab w:val="left" w:pos="1077"/>
      </w:tabs>
      <w:spacing w:after="220"/>
      <w:contextualSpacing/>
      <w:outlineLvl w:val="0"/>
    </w:pPr>
    <w:rPr>
      <w:rFonts w:asciiTheme="majorHAnsi" w:hAnsiTheme="majorHAnsi" w:cstheme="majorHAnsi"/>
      <w:b/>
      <w:bCs/>
      <w:kern w:val="32"/>
      <w:sz w:val="28"/>
      <w:szCs w:val="32"/>
    </w:rPr>
  </w:style>
  <w:style w:type="paragraph" w:styleId="Heading2">
    <w:name w:val="heading 2"/>
    <w:basedOn w:val="Normal"/>
    <w:next w:val="Normal"/>
    <w:uiPriority w:val="1"/>
    <w:qFormat/>
    <w:rsid w:val="00E4723C"/>
    <w:pPr>
      <w:keepNext/>
      <w:spacing w:after="220"/>
      <w:contextualSpacing/>
      <w:outlineLvl w:val="1"/>
    </w:pPr>
    <w:rPr>
      <w:rFonts w:asciiTheme="majorHAnsi" w:hAnsiTheme="majorHAnsi" w:cstheme="majorHAnsi"/>
      <w:b/>
      <w:bCs/>
      <w:iCs/>
      <w:color w:val="15397F" w:themeColor="background2"/>
      <w:sz w:val="24"/>
      <w:szCs w:val="28"/>
    </w:rPr>
  </w:style>
  <w:style w:type="paragraph" w:styleId="Heading3">
    <w:name w:val="heading 3"/>
    <w:basedOn w:val="Normal"/>
    <w:next w:val="Normal"/>
    <w:uiPriority w:val="1"/>
    <w:qFormat/>
    <w:rsid w:val="00E4723C"/>
    <w:pPr>
      <w:keepNext/>
      <w:spacing w:after="120"/>
      <w:contextualSpacing/>
      <w:outlineLvl w:val="2"/>
    </w:pPr>
    <w:rPr>
      <w:rFonts w:asciiTheme="majorHAnsi" w:hAnsiTheme="majorHAnsi" w:cstheme="majorHAnsi"/>
      <w:b/>
      <w:bCs/>
      <w:szCs w:val="26"/>
    </w:rPr>
  </w:style>
  <w:style w:type="paragraph" w:styleId="Heading4">
    <w:name w:val="heading 4"/>
    <w:basedOn w:val="Normal"/>
    <w:next w:val="Normal"/>
    <w:uiPriority w:val="1"/>
    <w:semiHidden/>
    <w:qFormat/>
    <w:rsid w:val="00C63303"/>
    <w:pPr>
      <w:keepNext/>
      <w:spacing w:before="113" w:after="0" w:line="216" w:lineRule="atLeast"/>
      <w:outlineLvl w:val="3"/>
    </w:pPr>
    <w:rPr>
      <w:rFonts w:asciiTheme="majorHAnsi" w:hAnsiTheme="majorHAnsi" w:cstheme="majorHAnsi"/>
      <w:b/>
      <w:bCs/>
      <w:szCs w:val="28"/>
    </w:rPr>
  </w:style>
  <w:style w:type="paragraph" w:styleId="Heading5">
    <w:name w:val="heading 5"/>
    <w:basedOn w:val="Normal"/>
    <w:next w:val="Normal"/>
    <w:uiPriority w:val="1"/>
    <w:semiHidden/>
    <w:qFormat/>
    <w:rsid w:val="00C63303"/>
    <w:pPr>
      <w:spacing w:before="240" w:after="60"/>
      <w:outlineLvl w:val="4"/>
    </w:pPr>
    <w:rPr>
      <w:rFonts w:asciiTheme="majorHAnsi" w:hAnsiTheme="majorHAnsi" w:cstheme="majorHAnsi"/>
      <w:b/>
      <w:bCs/>
      <w:i/>
      <w:iCs/>
      <w:sz w:val="16"/>
      <w:szCs w:val="26"/>
    </w:rPr>
  </w:style>
  <w:style w:type="paragraph" w:styleId="Heading6">
    <w:name w:val="heading 6"/>
    <w:basedOn w:val="Normal"/>
    <w:next w:val="Normal"/>
    <w:uiPriority w:val="1"/>
    <w:semiHidden/>
    <w:rsid w:val="00C63303"/>
    <w:pPr>
      <w:spacing w:before="240" w:after="60"/>
      <w:outlineLvl w:val="5"/>
    </w:pPr>
    <w:rPr>
      <w:rFonts w:asciiTheme="majorHAnsi" w:hAnsiTheme="majorHAnsi" w:cstheme="majorHAnsi"/>
      <w:b/>
      <w:bCs/>
      <w:sz w:val="16"/>
      <w:szCs w:val="22"/>
    </w:rPr>
  </w:style>
  <w:style w:type="paragraph" w:styleId="Heading7">
    <w:name w:val="heading 7"/>
    <w:basedOn w:val="Normal"/>
    <w:next w:val="Normal"/>
    <w:uiPriority w:val="1"/>
    <w:semiHidden/>
    <w:rsid w:val="00C63303"/>
    <w:pPr>
      <w:spacing w:before="240" w:after="60"/>
      <w:outlineLvl w:val="6"/>
    </w:pPr>
    <w:rPr>
      <w:rFonts w:asciiTheme="majorHAnsi" w:hAnsiTheme="majorHAnsi" w:cstheme="majorHAnsi"/>
      <w:sz w:val="24"/>
    </w:rPr>
  </w:style>
  <w:style w:type="paragraph" w:styleId="Heading8">
    <w:name w:val="heading 8"/>
    <w:basedOn w:val="Normal"/>
    <w:next w:val="Normal"/>
    <w:uiPriority w:val="1"/>
    <w:semiHidden/>
    <w:rsid w:val="00C63303"/>
    <w:pPr>
      <w:spacing w:before="240" w:after="60"/>
      <w:outlineLvl w:val="7"/>
    </w:pPr>
    <w:rPr>
      <w:rFonts w:asciiTheme="majorHAnsi" w:hAnsiTheme="majorHAnsi" w:cstheme="majorHAnsi"/>
      <w:i/>
      <w:iCs/>
      <w:sz w:val="24"/>
    </w:rPr>
  </w:style>
  <w:style w:type="paragraph" w:styleId="Heading9">
    <w:name w:val="heading 9"/>
    <w:basedOn w:val="Normal"/>
    <w:next w:val="Normal"/>
    <w:uiPriority w:val="1"/>
    <w:semiHidden/>
    <w:rsid w:val="00C63303"/>
    <w:pPr>
      <w:spacing w:before="240"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11"/>
    <w:qFormat/>
    <w:rsid w:val="002F792A"/>
    <w:pPr>
      <w:spacing w:line="240" w:lineRule="auto"/>
      <w:contextualSpacing/>
    </w:pPr>
    <w:rPr>
      <w:bCs/>
      <w:kern w:val="60"/>
      <w:sz w:val="12"/>
    </w:rPr>
  </w:style>
  <w:style w:type="paragraph" w:styleId="TOC1">
    <w:name w:val="toc 1"/>
    <w:basedOn w:val="Normal"/>
    <w:next w:val="Normal"/>
    <w:uiPriority w:val="39"/>
    <w:rsid w:val="00E00EF9"/>
    <w:pPr>
      <w:tabs>
        <w:tab w:val="right" w:pos="4820"/>
      </w:tabs>
      <w:ind w:right="1134"/>
    </w:pPr>
    <w:rPr>
      <w:b/>
      <w:noProof/>
    </w:rPr>
  </w:style>
  <w:style w:type="table" w:customStyle="1" w:styleId="SIRATable">
    <w:name w:val="SIRA Table"/>
    <w:basedOn w:val="TableNormal"/>
    <w:uiPriority w:val="99"/>
    <w:rsid w:val="00297724"/>
    <w:rPr>
      <w:rFonts w:ascii="Gotham Book" w:hAnsi="Gotham Book"/>
      <w:color w:val="FFFFFF" w:themeColor="background1"/>
      <w:sz w:val="16"/>
    </w:rPr>
    <w:tblPr>
      <w:tblInd w:w="108" w:type="dxa"/>
      <w:tblBorders>
        <w:insideH w:val="single" w:sz="18" w:space="0" w:color="FFFFFF" w:themeColor="background1"/>
        <w:insideV w:val="single" w:sz="18" w:space="0" w:color="FFFFFF" w:themeColor="background1"/>
      </w:tblBorders>
      <w:tblCellMar>
        <w:top w:w="0" w:type="dxa"/>
        <w:left w:w="108" w:type="dxa"/>
        <w:bottom w:w="0" w:type="dxa"/>
        <w:right w:w="108" w:type="dxa"/>
      </w:tblCellMar>
    </w:tblPr>
    <w:tcPr>
      <w:shd w:val="clear" w:color="auto" w:fill="4DA7A1"/>
    </w:tcPr>
    <w:tblStylePr w:type="firstRow">
      <w:rPr>
        <w:rFonts w:ascii="Gotham Medium" w:hAnsi="Gotham Medium"/>
        <w:sz w:val="16"/>
      </w:rPr>
      <w:tblPr/>
      <w:tcPr>
        <w:shd w:val="clear" w:color="auto" w:fill="008179"/>
      </w:tcPr>
    </w:tblStylePr>
    <w:tblStylePr w:type="firstCol">
      <w:rPr>
        <w:rFonts w:ascii="Gotham Medium" w:hAnsi="Gotham Medium"/>
        <w:color w:val="FFFFFF" w:themeColor="background1"/>
      </w:rPr>
      <w:tblPr/>
      <w:tcPr>
        <w:shd w:val="clear" w:color="auto" w:fill="008179"/>
      </w:tcPr>
    </w:tblStylePr>
  </w:style>
  <w:style w:type="paragraph" w:styleId="Header">
    <w:name w:val="header"/>
    <w:basedOn w:val="Normal"/>
    <w:link w:val="HeaderChar"/>
    <w:uiPriority w:val="99"/>
    <w:rsid w:val="008E6B3E"/>
    <w:pPr>
      <w:tabs>
        <w:tab w:val="center" w:pos="4153"/>
        <w:tab w:val="right" w:pos="8306"/>
      </w:tabs>
      <w:spacing w:after="0" w:line="240" w:lineRule="auto"/>
    </w:pPr>
    <w:rPr>
      <w:caps/>
      <w:kern w:val="60"/>
      <w:sz w:val="13"/>
    </w:rPr>
  </w:style>
  <w:style w:type="paragraph" w:styleId="Footer">
    <w:name w:val="footer"/>
    <w:basedOn w:val="Normal"/>
    <w:uiPriority w:val="9"/>
    <w:rsid w:val="002F792A"/>
    <w:pPr>
      <w:spacing w:after="0" w:line="144" w:lineRule="atLeast"/>
    </w:pPr>
    <w:rPr>
      <w:kern w:val="60"/>
      <w:sz w:val="12"/>
    </w:rPr>
  </w:style>
  <w:style w:type="character" w:styleId="PageNumber">
    <w:name w:val="page number"/>
    <w:basedOn w:val="DefaultParagraphFont"/>
    <w:uiPriority w:val="11"/>
    <w:semiHidden/>
    <w:rsid w:val="00C63303"/>
    <w:rPr>
      <w:rFonts w:asciiTheme="minorHAnsi" w:hAnsiTheme="minorHAnsi" w:cstheme="minorHAnsi"/>
      <w:sz w:val="13"/>
    </w:rPr>
  </w:style>
  <w:style w:type="table" w:styleId="TableGrid">
    <w:name w:val="Table Grid"/>
    <w:basedOn w:val="TableNormal"/>
    <w:uiPriority w:val="98"/>
    <w:rsid w:val="00C63303"/>
    <w:pPr>
      <w:adjustRightInd w:val="0"/>
      <w:snapToGrid w:val="0"/>
    </w:pPr>
    <w:rPr>
      <w:sz w:val="17"/>
    </w:rPr>
    <w:tblPr>
      <w:tblInd w:w="0" w:type="dxa"/>
      <w:tblCellMar>
        <w:top w:w="0" w:type="dxa"/>
        <w:left w:w="0" w:type="dxa"/>
        <w:bottom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ListBullet">
    <w:name w:val="List Bullet"/>
    <w:basedOn w:val="Normal"/>
    <w:uiPriority w:val="2"/>
    <w:rsid w:val="004E2E09"/>
    <w:pPr>
      <w:numPr>
        <w:numId w:val="16"/>
      </w:numPr>
    </w:pPr>
  </w:style>
  <w:style w:type="paragraph" w:styleId="ListNumber">
    <w:name w:val="List Number"/>
    <w:basedOn w:val="Normal"/>
    <w:uiPriority w:val="3"/>
    <w:rsid w:val="004E2E09"/>
    <w:pPr>
      <w:numPr>
        <w:numId w:val="19"/>
      </w:numPr>
    </w:pPr>
  </w:style>
  <w:style w:type="paragraph" w:customStyle="1" w:styleId="CoverDate">
    <w:name w:val="Cover Date"/>
    <w:basedOn w:val="Normal"/>
    <w:uiPriority w:val="11"/>
    <w:rsid w:val="00143AE5"/>
    <w:pPr>
      <w:adjustRightInd/>
      <w:snapToGrid/>
      <w:spacing w:after="0" w:line="240" w:lineRule="auto"/>
    </w:pPr>
    <w:rPr>
      <w:rFonts w:eastAsia="Times New Roman"/>
      <w:b/>
      <w:color w:val="15397F" w:themeColor="background2"/>
      <w:spacing w:val="-3"/>
      <w:sz w:val="32"/>
      <w:lang w:eastAsia="en-AU"/>
    </w:rPr>
  </w:style>
  <w:style w:type="paragraph" w:customStyle="1" w:styleId="CoverDetails">
    <w:name w:val="Cover Details"/>
    <w:basedOn w:val="Normal"/>
    <w:uiPriority w:val="11"/>
    <w:rsid w:val="00EB1AE1"/>
    <w:pPr>
      <w:adjustRightInd/>
      <w:snapToGrid/>
      <w:spacing w:after="0" w:line="216" w:lineRule="auto"/>
    </w:pPr>
    <w:rPr>
      <w:rFonts w:eastAsia="Times New Roman"/>
      <w:spacing w:val="-3"/>
      <w:sz w:val="28"/>
      <w:szCs w:val="28"/>
      <w:lang w:eastAsia="en-AU"/>
    </w:rPr>
  </w:style>
  <w:style w:type="paragraph" w:customStyle="1" w:styleId="CoverHeading">
    <w:name w:val="Cover Heading"/>
    <w:basedOn w:val="Normal"/>
    <w:next w:val="Normal"/>
    <w:uiPriority w:val="11"/>
    <w:rsid w:val="001013D3"/>
    <w:pPr>
      <w:adjustRightInd/>
      <w:snapToGrid/>
      <w:spacing w:after="200" w:line="240" w:lineRule="atLeast"/>
      <w:contextualSpacing/>
    </w:pPr>
    <w:rPr>
      <w:rFonts w:asciiTheme="majorHAnsi" w:eastAsia="Times New Roman" w:hAnsiTheme="majorHAnsi" w:cstheme="majorHAnsi"/>
      <w:b/>
      <w:bCs/>
      <w:color w:val="15397F" w:themeColor="background2"/>
      <w:spacing w:val="-3"/>
      <w:sz w:val="64"/>
      <w:szCs w:val="38"/>
      <w:lang w:eastAsia="en-US"/>
    </w:rPr>
  </w:style>
  <w:style w:type="paragraph" w:customStyle="1" w:styleId="DividerTitle">
    <w:name w:val="Divider Title"/>
    <w:basedOn w:val="Normal"/>
    <w:uiPriority w:val="11"/>
    <w:semiHidden/>
    <w:rsid w:val="00C63303"/>
    <w:pPr>
      <w:spacing w:after="0" w:line="400" w:lineRule="atLeast"/>
    </w:pPr>
    <w:rPr>
      <w:caps/>
      <w:kern w:val="60"/>
      <w:sz w:val="50"/>
    </w:rPr>
  </w:style>
  <w:style w:type="paragraph" w:customStyle="1" w:styleId="DividerIntro">
    <w:name w:val="Divider Intro"/>
    <w:basedOn w:val="Normal"/>
    <w:uiPriority w:val="11"/>
    <w:semiHidden/>
    <w:rsid w:val="00C63303"/>
    <w:pPr>
      <w:spacing w:after="0"/>
    </w:pPr>
    <w:rPr>
      <w:caps/>
      <w:sz w:val="28"/>
    </w:rPr>
  </w:style>
  <w:style w:type="paragraph" w:customStyle="1" w:styleId="CoverSubheading">
    <w:name w:val="Cover Subheading"/>
    <w:basedOn w:val="Normal"/>
    <w:uiPriority w:val="11"/>
    <w:rsid w:val="00CF46F2"/>
    <w:pPr>
      <w:spacing w:after="0" w:line="240" w:lineRule="atLeast"/>
      <w:contextualSpacing/>
    </w:pPr>
    <w:rPr>
      <w:rFonts w:cstheme="minorHAnsi"/>
      <w:color w:val="15397F" w:themeColor="background2"/>
      <w:sz w:val="32"/>
    </w:rPr>
  </w:style>
  <w:style w:type="paragraph" w:customStyle="1" w:styleId="IntroCopy">
    <w:name w:val="Intro Copy"/>
    <w:basedOn w:val="Normal"/>
    <w:qFormat/>
    <w:rsid w:val="008064D9"/>
    <w:pPr>
      <w:spacing w:line="216" w:lineRule="auto"/>
    </w:pPr>
    <w:rPr>
      <w:b/>
      <w:color w:val="15397F" w:themeColor="background2"/>
      <w:sz w:val="46"/>
    </w:rPr>
  </w:style>
  <w:style w:type="paragraph" w:customStyle="1" w:styleId="TableBullet">
    <w:name w:val="Table Bullet"/>
    <w:basedOn w:val="TableText"/>
    <w:qFormat/>
    <w:rsid w:val="00645247"/>
    <w:pPr>
      <w:numPr>
        <w:numId w:val="10"/>
      </w:numPr>
      <w:ind w:left="142" w:hanging="142"/>
    </w:pPr>
  </w:style>
  <w:style w:type="paragraph" w:customStyle="1" w:styleId="TableText">
    <w:name w:val="Table Text"/>
    <w:basedOn w:val="Normal"/>
    <w:uiPriority w:val="9"/>
    <w:qFormat/>
    <w:rsid w:val="002F792A"/>
    <w:pPr>
      <w:adjustRightInd/>
      <w:snapToGrid/>
      <w:spacing w:before="60" w:after="60" w:line="240" w:lineRule="auto"/>
    </w:pPr>
    <w:rPr>
      <w:rFonts w:eastAsia="Times New Roman"/>
      <w:color w:val="FFFFFF"/>
      <w:spacing w:val="-3"/>
      <w:sz w:val="16"/>
      <w:szCs w:val="19"/>
      <w:lang w:eastAsia="en-AU"/>
    </w:rPr>
  </w:style>
  <w:style w:type="paragraph" w:styleId="FootnoteText">
    <w:name w:val="footnote text"/>
    <w:basedOn w:val="Normal"/>
    <w:link w:val="FootnoteTextChar"/>
    <w:uiPriority w:val="11"/>
    <w:semiHidden/>
    <w:rsid w:val="007144B6"/>
    <w:pPr>
      <w:framePr w:w="10206" w:wrap="around" w:vAnchor="text" w:hAnchor="page" w:x="852" w:y="1" w:anchorLock="1"/>
      <w:tabs>
        <w:tab w:val="left" w:pos="320"/>
      </w:tabs>
      <w:adjustRightInd/>
      <w:snapToGrid/>
      <w:spacing w:before="80" w:after="60" w:line="200" w:lineRule="atLeast"/>
      <w:ind w:left="318" w:hanging="318"/>
    </w:pPr>
    <w:rPr>
      <w:rFonts w:ascii="Gotham Book" w:eastAsia="Times New Roman" w:hAnsi="Gotham Book"/>
      <w:spacing w:val="-3"/>
      <w:sz w:val="16"/>
      <w:szCs w:val="16"/>
      <w:lang w:eastAsia="en-AU"/>
    </w:rPr>
  </w:style>
  <w:style w:type="character" w:customStyle="1" w:styleId="FootnoteTextChar">
    <w:name w:val="Footnote Text Char"/>
    <w:basedOn w:val="DefaultParagraphFont"/>
    <w:link w:val="FootnoteText"/>
    <w:uiPriority w:val="11"/>
    <w:semiHidden/>
    <w:rsid w:val="007144B6"/>
    <w:rPr>
      <w:rFonts w:ascii="Gotham Book" w:eastAsia="Times New Roman" w:hAnsi="Gotham Book"/>
      <w:color w:val="2C2A29" w:themeColor="text2"/>
      <w:spacing w:val="-3"/>
      <w:sz w:val="16"/>
      <w:szCs w:val="16"/>
      <w:lang w:val="en-AU" w:eastAsia="en-AU"/>
    </w:rPr>
  </w:style>
  <w:style w:type="paragraph" w:customStyle="1" w:styleId="Source">
    <w:name w:val="Source"/>
    <w:uiPriority w:val="97"/>
    <w:semiHidden/>
    <w:qFormat/>
    <w:rsid w:val="00C63303"/>
    <w:pPr>
      <w:numPr>
        <w:numId w:val="5"/>
      </w:numPr>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C63303"/>
    <w:pPr>
      <w:numPr>
        <w:numId w:val="6"/>
      </w:numPr>
    </w:pPr>
  </w:style>
  <w:style w:type="numbering" w:styleId="1ai">
    <w:name w:val="Outline List 1"/>
    <w:basedOn w:val="NoList"/>
    <w:uiPriority w:val="97"/>
    <w:semiHidden/>
    <w:rsid w:val="00C63303"/>
    <w:pPr>
      <w:numPr>
        <w:numId w:val="7"/>
      </w:numPr>
    </w:pPr>
  </w:style>
  <w:style w:type="numbering" w:styleId="ArticleSection">
    <w:name w:val="Outline List 3"/>
    <w:basedOn w:val="NoList"/>
    <w:uiPriority w:val="97"/>
    <w:semiHidden/>
    <w:rsid w:val="00C63303"/>
    <w:pPr>
      <w:numPr>
        <w:numId w:val="8"/>
      </w:numPr>
    </w:pPr>
  </w:style>
  <w:style w:type="paragraph" w:styleId="BalloonText">
    <w:name w:val="Balloon Text"/>
    <w:basedOn w:val="Normal"/>
    <w:link w:val="BalloonTextChar"/>
    <w:uiPriority w:val="97"/>
    <w:semiHidden/>
    <w:rsid w:val="00C63303"/>
    <w:pPr>
      <w:spacing w:after="0" w:line="240" w:lineRule="auto"/>
    </w:pPr>
    <w:rPr>
      <w:sz w:val="16"/>
      <w:szCs w:val="16"/>
    </w:rPr>
  </w:style>
  <w:style w:type="character" w:customStyle="1" w:styleId="BalloonTextChar">
    <w:name w:val="Balloon Text Char"/>
    <w:basedOn w:val="DefaultParagraphFont"/>
    <w:link w:val="BalloonText"/>
    <w:rsid w:val="00C63303"/>
    <w:rPr>
      <w:rFonts w:asciiTheme="minorHAnsi" w:hAnsiTheme="minorHAnsi" w:cstheme="minorHAnsi"/>
      <w:kern w:val="20"/>
      <w:sz w:val="16"/>
      <w:szCs w:val="16"/>
      <w:lang w:val="en-AU" w:eastAsia="zh-CN"/>
    </w:rPr>
  </w:style>
  <w:style w:type="paragraph" w:styleId="Bibliography">
    <w:name w:val="Bibliography"/>
    <w:basedOn w:val="Normal"/>
    <w:next w:val="Normal"/>
    <w:uiPriority w:val="97"/>
    <w:semiHidden/>
    <w:unhideWhenUsed/>
    <w:rsid w:val="00C63303"/>
  </w:style>
  <w:style w:type="paragraph" w:styleId="BlockText">
    <w:name w:val="Block Text"/>
    <w:basedOn w:val="Normal"/>
    <w:uiPriority w:val="97"/>
    <w:semiHidden/>
    <w:rsid w:val="00C63303"/>
    <w:pPr>
      <w:pBdr>
        <w:top w:val="single" w:sz="2" w:space="10" w:color="00A5D4" w:themeColor="accent1" w:shadow="1" w:frame="1"/>
        <w:left w:val="single" w:sz="2" w:space="10" w:color="00A5D4" w:themeColor="accent1" w:shadow="1" w:frame="1"/>
        <w:bottom w:val="single" w:sz="2" w:space="10" w:color="00A5D4" w:themeColor="accent1" w:shadow="1" w:frame="1"/>
        <w:right w:val="single" w:sz="2" w:space="10" w:color="00A5D4" w:themeColor="accent1" w:shadow="1" w:frame="1"/>
      </w:pBdr>
      <w:ind w:left="1152" w:right="1152"/>
    </w:pPr>
    <w:rPr>
      <w:rFonts w:eastAsiaTheme="minorEastAsia"/>
      <w:i/>
      <w:iCs/>
      <w:color w:val="00A5D4" w:themeColor="accent1"/>
    </w:rPr>
  </w:style>
  <w:style w:type="paragraph" w:styleId="BodyText">
    <w:name w:val="Body Text"/>
    <w:basedOn w:val="Normal"/>
    <w:link w:val="BodyTextChar"/>
    <w:uiPriority w:val="97"/>
    <w:semiHidden/>
    <w:rsid w:val="00C63303"/>
  </w:style>
  <w:style w:type="character" w:customStyle="1" w:styleId="BodyTextChar">
    <w:name w:val="Body Text Char"/>
    <w:basedOn w:val="DefaultParagraphFont"/>
    <w:link w:val="BodyText"/>
    <w:rsid w:val="00C63303"/>
    <w:rPr>
      <w:rFonts w:asciiTheme="minorHAnsi" w:hAnsiTheme="minorHAnsi" w:cstheme="minorHAnsi"/>
      <w:kern w:val="20"/>
      <w:szCs w:val="24"/>
      <w:lang w:val="en-AU" w:eastAsia="zh-CN"/>
    </w:rPr>
  </w:style>
  <w:style w:type="paragraph" w:styleId="BodyText2">
    <w:name w:val="Body Text 2"/>
    <w:basedOn w:val="Normal"/>
    <w:link w:val="BodyText2Char"/>
    <w:uiPriority w:val="97"/>
    <w:semiHidden/>
    <w:rsid w:val="00C63303"/>
    <w:pPr>
      <w:spacing w:line="480" w:lineRule="auto"/>
    </w:pPr>
  </w:style>
  <w:style w:type="character" w:customStyle="1" w:styleId="BodyText2Char">
    <w:name w:val="Body Text 2 Char"/>
    <w:basedOn w:val="DefaultParagraphFont"/>
    <w:link w:val="BodyText2"/>
    <w:rsid w:val="00C63303"/>
    <w:rPr>
      <w:rFonts w:asciiTheme="minorHAnsi" w:hAnsiTheme="minorHAnsi" w:cstheme="minorHAnsi"/>
      <w:kern w:val="20"/>
      <w:szCs w:val="24"/>
      <w:lang w:val="en-AU" w:eastAsia="zh-CN"/>
    </w:rPr>
  </w:style>
  <w:style w:type="paragraph" w:styleId="BodyText3">
    <w:name w:val="Body Text 3"/>
    <w:basedOn w:val="Normal"/>
    <w:link w:val="BodyText3Char"/>
    <w:uiPriority w:val="97"/>
    <w:semiHidden/>
    <w:rsid w:val="00C63303"/>
    <w:rPr>
      <w:sz w:val="16"/>
      <w:szCs w:val="16"/>
    </w:rPr>
  </w:style>
  <w:style w:type="character" w:customStyle="1" w:styleId="BodyText3Char">
    <w:name w:val="Body Text 3 Char"/>
    <w:basedOn w:val="DefaultParagraphFont"/>
    <w:link w:val="BodyText3"/>
    <w:rsid w:val="00C63303"/>
    <w:rPr>
      <w:rFonts w:asciiTheme="minorHAnsi" w:hAnsiTheme="minorHAnsi" w:cstheme="minorHAnsi"/>
      <w:kern w:val="20"/>
      <w:sz w:val="16"/>
      <w:szCs w:val="16"/>
      <w:lang w:val="en-AU" w:eastAsia="zh-CN"/>
    </w:rPr>
  </w:style>
  <w:style w:type="paragraph" w:styleId="BodyTextFirstIndent">
    <w:name w:val="Body Text First Indent"/>
    <w:basedOn w:val="BodyText"/>
    <w:link w:val="BodyTextFirstIndentChar"/>
    <w:uiPriority w:val="97"/>
    <w:semiHidden/>
    <w:rsid w:val="00C63303"/>
    <w:pPr>
      <w:spacing w:after="80"/>
      <w:ind w:firstLine="360"/>
    </w:pPr>
  </w:style>
  <w:style w:type="character" w:customStyle="1" w:styleId="BodyTextFirstIndentChar">
    <w:name w:val="Body Text First Indent Char"/>
    <w:basedOn w:val="BodyTextChar"/>
    <w:link w:val="BodyTextFirstIndent"/>
    <w:rsid w:val="00C63303"/>
    <w:rPr>
      <w:rFonts w:asciiTheme="minorHAnsi" w:hAnsiTheme="minorHAnsi" w:cstheme="minorHAnsi"/>
      <w:kern w:val="20"/>
      <w:szCs w:val="24"/>
      <w:lang w:val="en-AU" w:eastAsia="zh-CN"/>
    </w:rPr>
  </w:style>
  <w:style w:type="paragraph" w:styleId="BodyTextIndent">
    <w:name w:val="Body Text Indent"/>
    <w:basedOn w:val="Normal"/>
    <w:link w:val="BodyTextIndentChar"/>
    <w:uiPriority w:val="97"/>
    <w:semiHidden/>
    <w:rsid w:val="00C63303"/>
    <w:pPr>
      <w:ind w:left="283"/>
    </w:pPr>
  </w:style>
  <w:style w:type="character" w:customStyle="1" w:styleId="BodyTextIndentChar">
    <w:name w:val="Body Text Indent Char"/>
    <w:basedOn w:val="DefaultParagraphFont"/>
    <w:link w:val="BodyTextIndent"/>
    <w:rsid w:val="00C63303"/>
    <w:rPr>
      <w:rFonts w:asciiTheme="minorHAnsi" w:hAnsiTheme="minorHAnsi" w:cstheme="minorHAnsi"/>
      <w:kern w:val="20"/>
      <w:szCs w:val="24"/>
      <w:lang w:val="en-AU" w:eastAsia="zh-CN"/>
    </w:rPr>
  </w:style>
  <w:style w:type="paragraph" w:styleId="BodyTextFirstIndent2">
    <w:name w:val="Body Text First Indent 2"/>
    <w:basedOn w:val="BodyTextIndent"/>
    <w:link w:val="BodyTextFirstIndent2Char"/>
    <w:uiPriority w:val="97"/>
    <w:semiHidden/>
    <w:rsid w:val="00C63303"/>
    <w:pPr>
      <w:spacing w:after="80"/>
      <w:ind w:left="360" w:firstLine="360"/>
    </w:pPr>
  </w:style>
  <w:style w:type="character" w:customStyle="1" w:styleId="BodyTextFirstIndent2Char">
    <w:name w:val="Body Text First Indent 2 Char"/>
    <w:basedOn w:val="BodyTextIndentChar"/>
    <w:link w:val="BodyTextFirstIndent2"/>
    <w:rsid w:val="00C63303"/>
    <w:rPr>
      <w:rFonts w:asciiTheme="minorHAnsi" w:hAnsiTheme="minorHAnsi" w:cstheme="minorHAnsi"/>
      <w:kern w:val="20"/>
      <w:szCs w:val="24"/>
      <w:lang w:val="en-AU" w:eastAsia="zh-CN"/>
    </w:rPr>
  </w:style>
  <w:style w:type="paragraph" w:styleId="BodyTextIndent2">
    <w:name w:val="Body Text Indent 2"/>
    <w:basedOn w:val="Normal"/>
    <w:link w:val="BodyTextIndent2Char"/>
    <w:uiPriority w:val="97"/>
    <w:semiHidden/>
    <w:rsid w:val="00C63303"/>
    <w:pPr>
      <w:spacing w:line="480" w:lineRule="auto"/>
      <w:ind w:left="283"/>
    </w:pPr>
  </w:style>
  <w:style w:type="character" w:customStyle="1" w:styleId="BodyTextIndent2Char">
    <w:name w:val="Body Text Indent 2 Char"/>
    <w:basedOn w:val="DefaultParagraphFont"/>
    <w:link w:val="BodyTextIndent2"/>
    <w:rsid w:val="00C63303"/>
    <w:rPr>
      <w:rFonts w:asciiTheme="minorHAnsi" w:hAnsiTheme="minorHAnsi" w:cstheme="minorHAnsi"/>
      <w:kern w:val="20"/>
      <w:szCs w:val="24"/>
      <w:lang w:val="en-AU" w:eastAsia="zh-CN"/>
    </w:rPr>
  </w:style>
  <w:style w:type="paragraph" w:styleId="BodyTextIndent3">
    <w:name w:val="Body Text Indent 3"/>
    <w:basedOn w:val="Normal"/>
    <w:link w:val="BodyTextIndent3Char"/>
    <w:uiPriority w:val="97"/>
    <w:semiHidden/>
    <w:rsid w:val="00C63303"/>
    <w:pPr>
      <w:ind w:left="283"/>
    </w:pPr>
    <w:rPr>
      <w:sz w:val="16"/>
      <w:szCs w:val="16"/>
    </w:rPr>
  </w:style>
  <w:style w:type="character" w:customStyle="1" w:styleId="BodyTextIndent3Char">
    <w:name w:val="Body Text Indent 3 Char"/>
    <w:basedOn w:val="DefaultParagraphFont"/>
    <w:link w:val="BodyTextIndent3"/>
    <w:rsid w:val="00C63303"/>
    <w:rPr>
      <w:rFonts w:asciiTheme="minorHAnsi" w:hAnsiTheme="minorHAnsi" w:cstheme="minorHAnsi"/>
      <w:kern w:val="20"/>
      <w:sz w:val="16"/>
      <w:szCs w:val="16"/>
      <w:lang w:val="en-AU" w:eastAsia="zh-CN"/>
    </w:rPr>
  </w:style>
  <w:style w:type="character" w:styleId="BookTitle">
    <w:name w:val="Book Title"/>
    <w:basedOn w:val="DefaultParagraphFont"/>
    <w:uiPriority w:val="97"/>
    <w:semiHidden/>
    <w:rsid w:val="00C63303"/>
    <w:rPr>
      <w:rFonts w:asciiTheme="minorHAnsi" w:hAnsiTheme="minorHAnsi" w:cstheme="minorHAnsi"/>
      <w:b/>
      <w:bCs/>
      <w:smallCaps/>
      <w:spacing w:val="5"/>
    </w:rPr>
  </w:style>
  <w:style w:type="paragraph" w:styleId="Closing">
    <w:name w:val="Closing"/>
    <w:basedOn w:val="Normal"/>
    <w:link w:val="ClosingChar"/>
    <w:uiPriority w:val="97"/>
    <w:semiHidden/>
    <w:rsid w:val="00C63303"/>
    <w:pPr>
      <w:spacing w:after="0" w:line="240" w:lineRule="auto"/>
      <w:ind w:left="4252"/>
    </w:pPr>
  </w:style>
  <w:style w:type="character" w:customStyle="1" w:styleId="ClosingChar">
    <w:name w:val="Closing Char"/>
    <w:basedOn w:val="DefaultParagraphFont"/>
    <w:link w:val="Closing"/>
    <w:rsid w:val="00C63303"/>
    <w:rPr>
      <w:rFonts w:asciiTheme="minorHAnsi" w:hAnsiTheme="minorHAnsi" w:cstheme="minorHAnsi"/>
      <w:kern w:val="20"/>
      <w:szCs w:val="24"/>
      <w:lang w:val="en-AU" w:eastAsia="zh-CN"/>
    </w:rPr>
  </w:style>
  <w:style w:type="table" w:styleId="ColorfulGrid">
    <w:name w:val="Colorful Grid"/>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3F1FF"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7E4FF" w:themeFill="accent1" w:themeFillTint="66"/>
      </w:tcPr>
    </w:tblStylePr>
    <w:tblStylePr w:type="lastRow">
      <w:rPr>
        <w:b/>
        <w:bCs/>
        <w:color w:val="000000" w:themeColor="text1"/>
      </w:rPr>
      <w:tblPr/>
      <w:tcPr>
        <w:shd w:val="clear" w:color="auto" w:fill="87E4FF" w:themeFill="accent1" w:themeFillTint="66"/>
      </w:tcPr>
    </w:tblStylePr>
    <w:tblStylePr w:type="firstCol">
      <w:rPr>
        <w:color w:val="FFFFFF" w:themeColor="background1"/>
      </w:rPr>
      <w:tblPr/>
      <w:tcPr>
        <w:shd w:val="clear" w:color="auto" w:fill="007B9E" w:themeFill="accent1" w:themeFillShade="BF"/>
      </w:tcPr>
    </w:tblStylePr>
    <w:tblStylePr w:type="lastCol">
      <w:rPr>
        <w:color w:val="FFFFFF" w:themeColor="background1"/>
      </w:rPr>
      <w:tblPr/>
      <w:tcPr>
        <w:shd w:val="clear" w:color="auto" w:fill="007B9E" w:themeFill="accent1" w:themeFillShade="BF"/>
      </w:tcPr>
    </w:tblStylePr>
    <w:tblStylePr w:type="band1Vert">
      <w:tblPr/>
      <w:tcPr>
        <w:shd w:val="clear" w:color="auto" w:fill="6ADDFF" w:themeFill="accent1" w:themeFillTint="7F"/>
      </w:tcPr>
    </w:tblStylePr>
    <w:tblStylePr w:type="band1Horz">
      <w:tblPr/>
      <w:tcPr>
        <w:shd w:val="clear" w:color="auto" w:fill="6ADDFF"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F3D4"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AE7AA" w:themeFill="accent2" w:themeFillTint="66"/>
      </w:tcPr>
    </w:tblStylePr>
    <w:tblStylePr w:type="lastRow">
      <w:rPr>
        <w:b/>
        <w:bCs/>
        <w:color w:val="000000" w:themeColor="text1"/>
      </w:rPr>
      <w:tblPr/>
      <w:tcPr>
        <w:shd w:val="clear" w:color="auto" w:fill="FAE7AA" w:themeFill="accent2" w:themeFillTint="66"/>
      </w:tcPr>
    </w:tblStylePr>
    <w:tblStylePr w:type="firstCol">
      <w:rPr>
        <w:color w:val="FFFFFF" w:themeColor="background1"/>
      </w:rPr>
      <w:tblPr/>
      <w:tcPr>
        <w:shd w:val="clear" w:color="auto" w:fill="CB9D0B" w:themeFill="accent2" w:themeFillShade="BF"/>
      </w:tcPr>
    </w:tblStylePr>
    <w:tblStylePr w:type="lastCol">
      <w:rPr>
        <w:color w:val="FFFFFF" w:themeColor="background1"/>
      </w:rPr>
      <w:tblPr/>
      <w:tcPr>
        <w:shd w:val="clear" w:color="auto" w:fill="CB9D0B" w:themeFill="accent2" w:themeFillShade="BF"/>
      </w:tcPr>
    </w:tblStylePr>
    <w:tblStylePr w:type="band1Vert">
      <w:tblPr/>
      <w:tcPr>
        <w:shd w:val="clear" w:color="auto" w:fill="F9E195" w:themeFill="accent2" w:themeFillTint="7F"/>
      </w:tcPr>
    </w:tblStylePr>
    <w:tblStylePr w:type="band1Horz">
      <w:tblPr/>
      <w:tcPr>
        <w:shd w:val="clear" w:color="auto" w:fill="F9E195"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6F7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EF0E5" w:themeFill="accent3" w:themeFillTint="66"/>
      </w:tcPr>
    </w:tblStylePr>
    <w:tblStylePr w:type="lastRow">
      <w:rPr>
        <w:b/>
        <w:bCs/>
        <w:color w:val="000000" w:themeColor="text1"/>
      </w:rPr>
      <w:tblPr/>
      <w:tcPr>
        <w:shd w:val="clear" w:color="auto" w:fill="8EF0E5" w:themeFill="accent3" w:themeFillTint="66"/>
      </w:tcPr>
    </w:tblStylePr>
    <w:tblStylePr w:type="firstCol">
      <w:rPr>
        <w:color w:val="FFFFFF" w:themeColor="background1"/>
      </w:rPr>
      <w:tblPr/>
      <w:tcPr>
        <w:shd w:val="clear" w:color="auto" w:fill="107F73" w:themeFill="accent3" w:themeFillShade="BF"/>
      </w:tcPr>
    </w:tblStylePr>
    <w:tblStylePr w:type="lastCol">
      <w:rPr>
        <w:color w:val="FFFFFF" w:themeColor="background1"/>
      </w:rPr>
      <w:tblPr/>
      <w:tcPr>
        <w:shd w:val="clear" w:color="auto" w:fill="107F73" w:themeFill="accent3" w:themeFillShade="BF"/>
      </w:tcPr>
    </w:tblStylePr>
    <w:tblStylePr w:type="band1Vert">
      <w:tblPr/>
      <w:tcPr>
        <w:shd w:val="clear" w:color="auto" w:fill="73EDDF" w:themeFill="accent3" w:themeFillTint="7F"/>
      </w:tcPr>
    </w:tblStylePr>
    <w:tblStylePr w:type="band1Horz">
      <w:tblPr/>
      <w:tcPr>
        <w:shd w:val="clear" w:color="auto" w:fill="73EDDF"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CEA"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1B9D4" w:themeFill="accent4" w:themeFillTint="66"/>
      </w:tcPr>
    </w:tblStylePr>
    <w:tblStylePr w:type="lastRow">
      <w:rPr>
        <w:b/>
        <w:bCs/>
        <w:color w:val="000000" w:themeColor="text1"/>
      </w:rPr>
      <w:tblPr/>
      <w:tcPr>
        <w:shd w:val="clear" w:color="auto" w:fill="C1B9D4" w:themeFill="accent4" w:themeFillTint="66"/>
      </w:tcPr>
    </w:tblStylePr>
    <w:tblStylePr w:type="firstCol">
      <w:rPr>
        <w:color w:val="FFFFFF" w:themeColor="background1"/>
      </w:rPr>
      <w:tblPr/>
      <w:tcPr>
        <w:shd w:val="clear" w:color="auto" w:fill="4D426B" w:themeFill="accent4" w:themeFillShade="BF"/>
      </w:tcPr>
    </w:tblStylePr>
    <w:tblStylePr w:type="lastCol">
      <w:rPr>
        <w:color w:val="FFFFFF" w:themeColor="background1"/>
      </w:rPr>
      <w:tblPr/>
      <w:tcPr>
        <w:shd w:val="clear" w:color="auto" w:fill="4D426B" w:themeFill="accent4" w:themeFillShade="BF"/>
      </w:tcPr>
    </w:tblStylePr>
    <w:tblStylePr w:type="band1Vert">
      <w:tblPr/>
      <w:tcPr>
        <w:shd w:val="clear" w:color="auto" w:fill="B1A8CA" w:themeFill="accent4" w:themeFillTint="7F"/>
      </w:tcPr>
    </w:tblStylePr>
    <w:tblStylePr w:type="band1Horz">
      <w:tblPr/>
      <w:tcPr>
        <w:shd w:val="clear" w:color="auto" w:fill="B1A8CA"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3DF"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7C8BF" w:themeFill="accent5" w:themeFillTint="66"/>
      </w:tcPr>
    </w:tblStylePr>
    <w:tblStylePr w:type="lastRow">
      <w:rPr>
        <w:b/>
        <w:bCs/>
        <w:color w:val="000000" w:themeColor="text1"/>
      </w:rPr>
      <w:tblPr/>
      <w:tcPr>
        <w:shd w:val="clear" w:color="auto" w:fill="D7C8BF" w:themeFill="accent5" w:themeFillTint="66"/>
      </w:tcPr>
    </w:tblStylePr>
    <w:tblStylePr w:type="firstCol">
      <w:rPr>
        <w:color w:val="FFFFFF" w:themeColor="background1"/>
      </w:rPr>
      <w:tblPr/>
      <w:tcPr>
        <w:shd w:val="clear" w:color="auto" w:fill="745948" w:themeFill="accent5" w:themeFillShade="BF"/>
      </w:tcPr>
    </w:tblStylePr>
    <w:tblStylePr w:type="lastCol">
      <w:rPr>
        <w:color w:val="FFFFFF" w:themeColor="background1"/>
      </w:rPr>
      <w:tblPr/>
      <w:tcPr>
        <w:shd w:val="clear" w:color="auto" w:fill="745948" w:themeFill="accent5" w:themeFillShade="BF"/>
      </w:tcPr>
    </w:tblStylePr>
    <w:tblStylePr w:type="band1Vert">
      <w:tblPr/>
      <w:tcPr>
        <w:shd w:val="clear" w:color="auto" w:fill="CEBBB0" w:themeFill="accent5" w:themeFillTint="7F"/>
      </w:tcPr>
    </w:tblStylePr>
    <w:tblStylePr w:type="band1Horz">
      <w:tblPr/>
      <w:tcPr>
        <w:shd w:val="clear" w:color="auto" w:fill="CEBBB0"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C5D3"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38BA7" w:themeFill="accent6" w:themeFillTint="66"/>
      </w:tcPr>
    </w:tblStylePr>
    <w:tblStylePr w:type="lastRow">
      <w:rPr>
        <w:b/>
        <w:bCs/>
        <w:color w:val="000000" w:themeColor="text1"/>
      </w:rPr>
      <w:tblPr/>
      <w:tcPr>
        <w:shd w:val="clear" w:color="auto" w:fill="F38BA7" w:themeFill="accent6" w:themeFillTint="66"/>
      </w:tcPr>
    </w:tblStylePr>
    <w:tblStylePr w:type="firstCol">
      <w:rPr>
        <w:color w:val="FFFFFF" w:themeColor="background1"/>
      </w:rPr>
      <w:tblPr/>
      <w:tcPr>
        <w:shd w:val="clear" w:color="auto" w:fill="810D2C" w:themeFill="accent6" w:themeFillShade="BF"/>
      </w:tcPr>
    </w:tblStylePr>
    <w:tblStylePr w:type="lastCol">
      <w:rPr>
        <w:color w:val="FFFFFF" w:themeColor="background1"/>
      </w:rPr>
      <w:tblPr/>
      <w:tcPr>
        <w:shd w:val="clear" w:color="auto" w:fill="810D2C" w:themeFill="accent6" w:themeFillShade="BF"/>
      </w:tcPr>
    </w:tblStylePr>
    <w:tblStylePr w:type="band1Vert">
      <w:tblPr/>
      <w:tcPr>
        <w:shd w:val="clear" w:color="auto" w:fill="F06F91" w:themeFill="accent6" w:themeFillTint="7F"/>
      </w:tcPr>
    </w:tblStylePr>
    <w:tblStylePr w:type="band1Horz">
      <w:tblPr/>
      <w:tcPr>
        <w:shd w:val="clear" w:color="auto" w:fill="F06F91"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8A70C" w:themeFill="accent2" w:themeFillShade="CC"/>
      </w:tcPr>
    </w:tblStylePr>
    <w:tblStylePr w:type="lastRow">
      <w:rPr>
        <w:b/>
        <w:bCs/>
        <w:color w:val="D8A7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1F8F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8A70C" w:themeFill="accent2" w:themeFillShade="CC"/>
      </w:tcPr>
    </w:tblStylePr>
    <w:tblStylePr w:type="lastRow">
      <w:rPr>
        <w:b/>
        <w:bCs/>
        <w:color w:val="D8A7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EEFF" w:themeFill="accent1" w:themeFillTint="3F"/>
      </w:tcPr>
    </w:tblStylePr>
    <w:tblStylePr w:type="band1Horz">
      <w:tblPr/>
      <w:tcPr>
        <w:shd w:val="clear" w:color="auto" w:fill="C3F1FF"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9EA"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8A70C" w:themeFill="accent2" w:themeFillShade="CC"/>
      </w:tcPr>
    </w:tblStylePr>
    <w:tblStylePr w:type="lastRow">
      <w:rPr>
        <w:b/>
        <w:bCs/>
        <w:color w:val="D8A7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0CA" w:themeFill="accent2" w:themeFillTint="3F"/>
      </w:tcPr>
    </w:tblStylePr>
    <w:tblStylePr w:type="band1Horz">
      <w:tblPr/>
      <w:tcPr>
        <w:shd w:val="clear" w:color="auto" w:fill="FCF3D4"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FBF8"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24673" w:themeFill="accent4" w:themeFillShade="CC"/>
      </w:tcPr>
    </w:tblStylePr>
    <w:tblStylePr w:type="lastRow">
      <w:rPr>
        <w:b/>
        <w:bCs/>
        <w:color w:val="5246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6EF" w:themeFill="accent3" w:themeFillTint="3F"/>
      </w:tcPr>
    </w:tblStylePr>
    <w:tblStylePr w:type="band1Horz">
      <w:tblPr/>
      <w:tcPr>
        <w:shd w:val="clear" w:color="auto" w:fill="C6F7F2"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EF4"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1887B" w:themeFill="accent3" w:themeFillShade="CC"/>
      </w:tcPr>
    </w:tblStylePr>
    <w:tblStylePr w:type="lastRow">
      <w:rPr>
        <w:b/>
        <w:bCs/>
        <w:color w:val="1188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4E4" w:themeFill="accent4" w:themeFillTint="3F"/>
      </w:tcPr>
    </w:tblStylePr>
    <w:tblStylePr w:type="band1Horz">
      <w:tblPr/>
      <w:tcPr>
        <w:shd w:val="clear" w:color="auto" w:fill="DFDCEA"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1EF"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A0E2F" w:themeFill="accent6" w:themeFillShade="CC"/>
      </w:tcPr>
    </w:tblStylePr>
    <w:tblStylePr w:type="lastRow">
      <w:rPr>
        <w:b/>
        <w:bCs/>
        <w:color w:val="8A0E2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DD7" w:themeFill="accent5" w:themeFillTint="3F"/>
      </w:tcPr>
    </w:tblStylePr>
    <w:tblStylePr w:type="band1Horz">
      <w:tblPr/>
      <w:tcPr>
        <w:shd w:val="clear" w:color="auto" w:fill="EBE3DF"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2E9"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C5F4D" w:themeFill="accent5" w:themeFillShade="CC"/>
      </w:tcPr>
    </w:tblStylePr>
    <w:tblStylePr w:type="lastRow">
      <w:rPr>
        <w:b/>
        <w:bCs/>
        <w:color w:val="7C5F4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B7C8" w:themeFill="accent6" w:themeFillTint="3F"/>
      </w:tcPr>
    </w:tblStylePr>
    <w:tblStylePr w:type="band1Horz">
      <w:tblPr/>
      <w:tcPr>
        <w:shd w:val="clear" w:color="auto" w:fill="F9C5D3"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Ind w:w="0" w:type="dxa"/>
      <w:tblBorders>
        <w:top w:val="single" w:sz="24" w:space="0" w:color="F3C42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3C4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Ind w:w="0" w:type="dxa"/>
      <w:tblBorders>
        <w:top w:val="single" w:sz="24" w:space="0" w:color="F3C42C" w:themeColor="accent2"/>
        <w:left w:val="single" w:sz="4" w:space="0" w:color="00A5D4" w:themeColor="accent1"/>
        <w:bottom w:val="single" w:sz="4" w:space="0" w:color="00A5D4" w:themeColor="accent1"/>
        <w:right w:val="single" w:sz="4" w:space="0" w:color="00A5D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F8F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3C4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27F" w:themeFill="accent1" w:themeFillShade="99"/>
      </w:tcPr>
    </w:tblStylePr>
    <w:tblStylePr w:type="firstCol">
      <w:rPr>
        <w:color w:val="FFFFFF" w:themeColor="background1"/>
      </w:rPr>
      <w:tblPr/>
      <w:tcPr>
        <w:tcBorders>
          <w:top w:val="nil"/>
          <w:left w:val="nil"/>
          <w:bottom w:val="nil"/>
          <w:right w:val="nil"/>
          <w:insideH w:val="single" w:sz="4" w:space="0" w:color="00627F" w:themeColor="accent1" w:themeShade="99"/>
          <w:insideV w:val="nil"/>
        </w:tcBorders>
        <w:shd w:val="clear" w:color="auto" w:fill="0062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27F" w:themeFill="accent1" w:themeFillShade="99"/>
      </w:tcPr>
    </w:tblStylePr>
    <w:tblStylePr w:type="band1Vert">
      <w:tblPr/>
      <w:tcPr>
        <w:shd w:val="clear" w:color="auto" w:fill="87E4FF" w:themeFill="accent1" w:themeFillTint="66"/>
      </w:tcPr>
    </w:tblStylePr>
    <w:tblStylePr w:type="band1Horz">
      <w:tblPr/>
      <w:tcPr>
        <w:shd w:val="clear" w:color="auto" w:fill="6AD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Ind w:w="0" w:type="dxa"/>
      <w:tblBorders>
        <w:top w:val="single" w:sz="24" w:space="0" w:color="F3C42C" w:themeColor="accent2"/>
        <w:left w:val="single" w:sz="4" w:space="0" w:color="F3C42C" w:themeColor="accent2"/>
        <w:bottom w:val="single" w:sz="4" w:space="0" w:color="F3C42C" w:themeColor="accent2"/>
        <w:right w:val="single" w:sz="4" w:space="0" w:color="F3C42C"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9EA"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3C4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7D09" w:themeFill="accent2" w:themeFillShade="99"/>
      </w:tcPr>
    </w:tblStylePr>
    <w:tblStylePr w:type="firstCol">
      <w:rPr>
        <w:color w:val="FFFFFF" w:themeColor="background1"/>
      </w:rPr>
      <w:tblPr/>
      <w:tcPr>
        <w:tcBorders>
          <w:top w:val="nil"/>
          <w:left w:val="nil"/>
          <w:bottom w:val="nil"/>
          <w:right w:val="nil"/>
          <w:insideH w:val="single" w:sz="4" w:space="0" w:color="A27D09" w:themeColor="accent2" w:themeShade="99"/>
          <w:insideV w:val="nil"/>
        </w:tcBorders>
        <w:shd w:val="clear" w:color="auto" w:fill="A27D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27D09" w:themeFill="accent2" w:themeFillShade="99"/>
      </w:tcPr>
    </w:tblStylePr>
    <w:tblStylePr w:type="band1Vert">
      <w:tblPr/>
      <w:tcPr>
        <w:shd w:val="clear" w:color="auto" w:fill="FAE7AA" w:themeFill="accent2" w:themeFillTint="66"/>
      </w:tcPr>
    </w:tblStylePr>
    <w:tblStylePr w:type="band1Horz">
      <w:tblPr/>
      <w:tcPr>
        <w:shd w:val="clear" w:color="auto" w:fill="F9E19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Ind w:w="0" w:type="dxa"/>
      <w:tblBorders>
        <w:top w:val="single" w:sz="24" w:space="0" w:color="675890" w:themeColor="accent4"/>
        <w:left w:val="single" w:sz="4" w:space="0" w:color="16AB9B" w:themeColor="accent3"/>
        <w:bottom w:val="single" w:sz="4" w:space="0" w:color="16AB9B" w:themeColor="accent3"/>
        <w:right w:val="single" w:sz="4" w:space="0" w:color="16AB9B"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BF8"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758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65C" w:themeFill="accent3" w:themeFillShade="99"/>
      </w:tcPr>
    </w:tblStylePr>
    <w:tblStylePr w:type="firstCol">
      <w:rPr>
        <w:color w:val="FFFFFF" w:themeColor="background1"/>
      </w:rPr>
      <w:tblPr/>
      <w:tcPr>
        <w:tcBorders>
          <w:top w:val="nil"/>
          <w:left w:val="nil"/>
          <w:bottom w:val="nil"/>
          <w:right w:val="nil"/>
          <w:insideH w:val="single" w:sz="4" w:space="0" w:color="0D665C" w:themeColor="accent3" w:themeShade="99"/>
          <w:insideV w:val="nil"/>
        </w:tcBorders>
        <w:shd w:val="clear" w:color="auto" w:fill="0D66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D665C" w:themeFill="accent3" w:themeFillShade="99"/>
      </w:tcPr>
    </w:tblStylePr>
    <w:tblStylePr w:type="band1Vert">
      <w:tblPr/>
      <w:tcPr>
        <w:shd w:val="clear" w:color="auto" w:fill="8EF0E5" w:themeFill="accent3" w:themeFillTint="66"/>
      </w:tcPr>
    </w:tblStylePr>
    <w:tblStylePr w:type="band1Horz">
      <w:tblPr/>
      <w:tcPr>
        <w:shd w:val="clear" w:color="auto" w:fill="73EDDF"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Ind w:w="0" w:type="dxa"/>
      <w:tblBorders>
        <w:top w:val="single" w:sz="24" w:space="0" w:color="16AB9B" w:themeColor="accent3"/>
        <w:left w:val="single" w:sz="4" w:space="0" w:color="675890" w:themeColor="accent4"/>
        <w:bottom w:val="single" w:sz="4" w:space="0" w:color="675890" w:themeColor="accent4"/>
        <w:right w:val="single" w:sz="4" w:space="0" w:color="67589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EF4"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16AB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456" w:themeFill="accent4" w:themeFillShade="99"/>
      </w:tcPr>
    </w:tblStylePr>
    <w:tblStylePr w:type="firstCol">
      <w:rPr>
        <w:color w:val="FFFFFF" w:themeColor="background1"/>
      </w:rPr>
      <w:tblPr/>
      <w:tcPr>
        <w:tcBorders>
          <w:top w:val="nil"/>
          <w:left w:val="nil"/>
          <w:bottom w:val="nil"/>
          <w:right w:val="nil"/>
          <w:insideH w:val="single" w:sz="4" w:space="0" w:color="3D3456" w:themeColor="accent4" w:themeShade="99"/>
          <w:insideV w:val="nil"/>
        </w:tcBorders>
        <w:shd w:val="clear" w:color="auto" w:fill="3D34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456" w:themeFill="accent4" w:themeFillShade="99"/>
      </w:tcPr>
    </w:tblStylePr>
    <w:tblStylePr w:type="band1Vert">
      <w:tblPr/>
      <w:tcPr>
        <w:shd w:val="clear" w:color="auto" w:fill="C1B9D4" w:themeFill="accent4" w:themeFillTint="66"/>
      </w:tcPr>
    </w:tblStylePr>
    <w:tblStylePr w:type="band1Horz">
      <w:tblPr/>
      <w:tcPr>
        <w:shd w:val="clear" w:color="auto" w:fill="B1A8C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Ind w:w="0" w:type="dxa"/>
      <w:tblBorders>
        <w:top w:val="single" w:sz="24" w:space="0" w:color="AD123C" w:themeColor="accent6"/>
        <w:left w:val="single" w:sz="4" w:space="0" w:color="9C7761" w:themeColor="accent5"/>
        <w:bottom w:val="single" w:sz="4" w:space="0" w:color="9C7761" w:themeColor="accent5"/>
        <w:right w:val="single" w:sz="4" w:space="0" w:color="9C7761"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1EF"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D12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473A" w:themeFill="accent5" w:themeFillShade="99"/>
      </w:tcPr>
    </w:tblStylePr>
    <w:tblStylePr w:type="firstCol">
      <w:rPr>
        <w:color w:val="FFFFFF" w:themeColor="background1"/>
      </w:rPr>
      <w:tblPr/>
      <w:tcPr>
        <w:tcBorders>
          <w:top w:val="nil"/>
          <w:left w:val="nil"/>
          <w:bottom w:val="nil"/>
          <w:right w:val="nil"/>
          <w:insideH w:val="single" w:sz="4" w:space="0" w:color="5D473A" w:themeColor="accent5" w:themeShade="99"/>
          <w:insideV w:val="nil"/>
        </w:tcBorders>
        <w:shd w:val="clear" w:color="auto" w:fill="5D473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473A" w:themeFill="accent5" w:themeFillShade="99"/>
      </w:tcPr>
    </w:tblStylePr>
    <w:tblStylePr w:type="band1Vert">
      <w:tblPr/>
      <w:tcPr>
        <w:shd w:val="clear" w:color="auto" w:fill="D7C8BF" w:themeFill="accent5" w:themeFillTint="66"/>
      </w:tcPr>
    </w:tblStylePr>
    <w:tblStylePr w:type="band1Horz">
      <w:tblPr/>
      <w:tcPr>
        <w:shd w:val="clear" w:color="auto" w:fill="CEBBB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Ind w:w="0" w:type="dxa"/>
      <w:tblBorders>
        <w:top w:val="single" w:sz="24" w:space="0" w:color="9C7761" w:themeColor="accent5"/>
        <w:left w:val="single" w:sz="4" w:space="0" w:color="AD123C" w:themeColor="accent6"/>
        <w:bottom w:val="single" w:sz="4" w:space="0" w:color="AD123C" w:themeColor="accent6"/>
        <w:right w:val="single" w:sz="4" w:space="0" w:color="AD123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2E9"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C776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0A23" w:themeFill="accent6" w:themeFillShade="99"/>
      </w:tcPr>
    </w:tblStylePr>
    <w:tblStylePr w:type="firstCol">
      <w:rPr>
        <w:color w:val="FFFFFF" w:themeColor="background1"/>
      </w:rPr>
      <w:tblPr/>
      <w:tcPr>
        <w:tcBorders>
          <w:top w:val="nil"/>
          <w:left w:val="nil"/>
          <w:bottom w:val="nil"/>
          <w:right w:val="nil"/>
          <w:insideH w:val="single" w:sz="4" w:space="0" w:color="670A23" w:themeColor="accent6" w:themeShade="99"/>
          <w:insideV w:val="nil"/>
        </w:tcBorders>
        <w:shd w:val="clear" w:color="auto" w:fill="670A2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70A23" w:themeFill="accent6" w:themeFillShade="99"/>
      </w:tcPr>
    </w:tblStylePr>
    <w:tblStylePr w:type="band1Vert">
      <w:tblPr/>
      <w:tcPr>
        <w:shd w:val="clear" w:color="auto" w:fill="F38BA7" w:themeFill="accent6" w:themeFillTint="66"/>
      </w:tcPr>
    </w:tblStylePr>
    <w:tblStylePr w:type="band1Horz">
      <w:tblPr/>
      <w:tcPr>
        <w:shd w:val="clear" w:color="auto" w:fill="F06F9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C63303"/>
    <w:rPr>
      <w:rFonts w:asciiTheme="minorHAnsi" w:hAnsiTheme="minorHAnsi" w:cstheme="minorHAnsi"/>
      <w:sz w:val="16"/>
      <w:szCs w:val="16"/>
    </w:rPr>
  </w:style>
  <w:style w:type="paragraph" w:styleId="CommentText">
    <w:name w:val="annotation text"/>
    <w:basedOn w:val="Normal"/>
    <w:link w:val="CommentTextChar"/>
    <w:uiPriority w:val="97"/>
    <w:semiHidden/>
    <w:rsid w:val="00C63303"/>
    <w:pPr>
      <w:spacing w:line="240" w:lineRule="auto"/>
    </w:pPr>
  </w:style>
  <w:style w:type="character" w:customStyle="1" w:styleId="CommentTextChar">
    <w:name w:val="Comment Text Char"/>
    <w:basedOn w:val="DefaultParagraphFont"/>
    <w:link w:val="CommentText"/>
    <w:rsid w:val="00C63303"/>
    <w:rPr>
      <w:rFonts w:asciiTheme="minorHAnsi" w:hAnsiTheme="minorHAnsi" w:cstheme="minorHAnsi"/>
      <w:kern w:val="20"/>
      <w:lang w:val="en-AU" w:eastAsia="zh-CN"/>
    </w:rPr>
  </w:style>
  <w:style w:type="paragraph" w:styleId="CommentSubject">
    <w:name w:val="annotation subject"/>
    <w:basedOn w:val="CommentText"/>
    <w:next w:val="CommentText"/>
    <w:link w:val="CommentSubjectChar"/>
    <w:uiPriority w:val="97"/>
    <w:semiHidden/>
    <w:rsid w:val="00C63303"/>
    <w:rPr>
      <w:b/>
      <w:bCs/>
    </w:rPr>
  </w:style>
  <w:style w:type="character" w:customStyle="1" w:styleId="CommentSubjectChar">
    <w:name w:val="Comment Subject Char"/>
    <w:basedOn w:val="CommentTextChar"/>
    <w:link w:val="CommentSubject"/>
    <w:rsid w:val="00C63303"/>
    <w:rPr>
      <w:rFonts w:asciiTheme="minorHAnsi" w:hAnsiTheme="minorHAnsi" w:cstheme="minorHAnsi"/>
      <w:b/>
      <w:bCs/>
      <w:kern w:val="20"/>
      <w:lang w:val="en-AU" w:eastAsia="zh-CN"/>
    </w:rPr>
  </w:style>
  <w:style w:type="table" w:styleId="DarkList">
    <w:name w:val="Dark List"/>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A5D4"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1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9E" w:themeFill="accent1" w:themeFillShade="BF"/>
      </w:tcPr>
    </w:tblStylePr>
    <w:tblStylePr w:type="band1Vert">
      <w:tblPr/>
      <w:tcPr>
        <w:tcBorders>
          <w:top w:val="nil"/>
          <w:left w:val="nil"/>
          <w:bottom w:val="nil"/>
          <w:right w:val="nil"/>
          <w:insideH w:val="nil"/>
          <w:insideV w:val="nil"/>
        </w:tcBorders>
        <w:shd w:val="clear" w:color="auto" w:fill="007B9E" w:themeFill="accent1" w:themeFillShade="BF"/>
      </w:tcPr>
    </w:tblStylePr>
    <w:tblStylePr w:type="band1Horz">
      <w:tblPr/>
      <w:tcPr>
        <w:tcBorders>
          <w:top w:val="nil"/>
          <w:left w:val="nil"/>
          <w:bottom w:val="nil"/>
          <w:right w:val="nil"/>
          <w:insideH w:val="nil"/>
          <w:insideV w:val="nil"/>
        </w:tcBorders>
        <w:shd w:val="clear" w:color="auto" w:fill="007B9E"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3C42C"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68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B9D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B9D0B" w:themeFill="accent2" w:themeFillShade="BF"/>
      </w:tcPr>
    </w:tblStylePr>
    <w:tblStylePr w:type="band1Vert">
      <w:tblPr/>
      <w:tcPr>
        <w:tcBorders>
          <w:top w:val="nil"/>
          <w:left w:val="nil"/>
          <w:bottom w:val="nil"/>
          <w:right w:val="nil"/>
          <w:insideH w:val="nil"/>
          <w:insideV w:val="nil"/>
        </w:tcBorders>
        <w:shd w:val="clear" w:color="auto" w:fill="CB9D0B" w:themeFill="accent2" w:themeFillShade="BF"/>
      </w:tcPr>
    </w:tblStylePr>
    <w:tblStylePr w:type="band1Horz">
      <w:tblPr/>
      <w:tcPr>
        <w:tcBorders>
          <w:top w:val="nil"/>
          <w:left w:val="nil"/>
          <w:bottom w:val="nil"/>
          <w:right w:val="nil"/>
          <w:insideH w:val="nil"/>
          <w:insideV w:val="nil"/>
        </w:tcBorders>
        <w:shd w:val="clear" w:color="auto" w:fill="CB9D0B"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6AB9B"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5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07F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07F73" w:themeFill="accent3" w:themeFillShade="BF"/>
      </w:tcPr>
    </w:tblStylePr>
    <w:tblStylePr w:type="band1Vert">
      <w:tblPr/>
      <w:tcPr>
        <w:tcBorders>
          <w:top w:val="nil"/>
          <w:left w:val="nil"/>
          <w:bottom w:val="nil"/>
          <w:right w:val="nil"/>
          <w:insideH w:val="nil"/>
          <w:insideV w:val="nil"/>
        </w:tcBorders>
        <w:shd w:val="clear" w:color="auto" w:fill="107F73" w:themeFill="accent3" w:themeFillShade="BF"/>
      </w:tcPr>
    </w:tblStylePr>
    <w:tblStylePr w:type="band1Horz">
      <w:tblPr/>
      <w:tcPr>
        <w:tcBorders>
          <w:top w:val="nil"/>
          <w:left w:val="nil"/>
          <w:bottom w:val="nil"/>
          <w:right w:val="nil"/>
          <w:insideH w:val="nil"/>
          <w:insideV w:val="nil"/>
        </w:tcBorders>
        <w:shd w:val="clear" w:color="auto" w:fill="107F73"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589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B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D426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D426B" w:themeFill="accent4" w:themeFillShade="BF"/>
      </w:tcPr>
    </w:tblStylePr>
    <w:tblStylePr w:type="band1Vert">
      <w:tblPr/>
      <w:tcPr>
        <w:tcBorders>
          <w:top w:val="nil"/>
          <w:left w:val="nil"/>
          <w:bottom w:val="nil"/>
          <w:right w:val="nil"/>
          <w:insideH w:val="nil"/>
          <w:insideV w:val="nil"/>
        </w:tcBorders>
        <w:shd w:val="clear" w:color="auto" w:fill="4D426B" w:themeFill="accent4" w:themeFillShade="BF"/>
      </w:tcPr>
    </w:tblStylePr>
    <w:tblStylePr w:type="band1Horz">
      <w:tblPr/>
      <w:tcPr>
        <w:tcBorders>
          <w:top w:val="nil"/>
          <w:left w:val="nil"/>
          <w:bottom w:val="nil"/>
          <w:right w:val="nil"/>
          <w:insideH w:val="nil"/>
          <w:insideV w:val="nil"/>
        </w:tcBorders>
        <w:shd w:val="clear" w:color="auto" w:fill="4D426B"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C7761"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3B3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594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5948" w:themeFill="accent5" w:themeFillShade="BF"/>
      </w:tcPr>
    </w:tblStylePr>
    <w:tblStylePr w:type="band1Vert">
      <w:tblPr/>
      <w:tcPr>
        <w:tcBorders>
          <w:top w:val="nil"/>
          <w:left w:val="nil"/>
          <w:bottom w:val="nil"/>
          <w:right w:val="nil"/>
          <w:insideH w:val="nil"/>
          <w:insideV w:val="nil"/>
        </w:tcBorders>
        <w:shd w:val="clear" w:color="auto" w:fill="745948" w:themeFill="accent5" w:themeFillShade="BF"/>
      </w:tcPr>
    </w:tblStylePr>
    <w:tblStylePr w:type="band1Horz">
      <w:tblPr/>
      <w:tcPr>
        <w:tcBorders>
          <w:top w:val="nil"/>
          <w:left w:val="nil"/>
          <w:bottom w:val="nil"/>
          <w:right w:val="nil"/>
          <w:insideH w:val="nil"/>
          <w:insideV w:val="nil"/>
        </w:tcBorders>
        <w:shd w:val="clear" w:color="auto" w:fill="745948"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D123C"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6091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10D2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10D2C" w:themeFill="accent6" w:themeFillShade="BF"/>
      </w:tcPr>
    </w:tblStylePr>
    <w:tblStylePr w:type="band1Vert">
      <w:tblPr/>
      <w:tcPr>
        <w:tcBorders>
          <w:top w:val="nil"/>
          <w:left w:val="nil"/>
          <w:bottom w:val="nil"/>
          <w:right w:val="nil"/>
          <w:insideH w:val="nil"/>
          <w:insideV w:val="nil"/>
        </w:tcBorders>
        <w:shd w:val="clear" w:color="auto" w:fill="810D2C" w:themeFill="accent6" w:themeFillShade="BF"/>
      </w:tcPr>
    </w:tblStylePr>
    <w:tblStylePr w:type="band1Horz">
      <w:tblPr/>
      <w:tcPr>
        <w:tcBorders>
          <w:top w:val="nil"/>
          <w:left w:val="nil"/>
          <w:bottom w:val="nil"/>
          <w:right w:val="nil"/>
          <w:insideH w:val="nil"/>
          <w:insideV w:val="nil"/>
        </w:tcBorders>
        <w:shd w:val="clear" w:color="auto" w:fill="810D2C" w:themeFill="accent6" w:themeFillShade="BF"/>
      </w:tcPr>
    </w:tblStylePr>
  </w:style>
  <w:style w:type="paragraph" w:customStyle="1" w:styleId="TableHeading">
    <w:name w:val="Table Heading"/>
    <w:basedOn w:val="TableText"/>
    <w:qFormat/>
    <w:rsid w:val="002F792A"/>
    <w:pPr>
      <w:spacing w:before="90" w:after="90"/>
    </w:pPr>
    <w:rPr>
      <w:b/>
    </w:rPr>
  </w:style>
  <w:style w:type="paragraph" w:styleId="DocumentMap">
    <w:name w:val="Document Map"/>
    <w:basedOn w:val="Normal"/>
    <w:link w:val="DocumentMapChar"/>
    <w:uiPriority w:val="97"/>
    <w:semiHidden/>
    <w:rsid w:val="00C63303"/>
    <w:pPr>
      <w:spacing w:after="0" w:line="240" w:lineRule="auto"/>
    </w:pPr>
    <w:rPr>
      <w:sz w:val="16"/>
      <w:szCs w:val="16"/>
    </w:rPr>
  </w:style>
  <w:style w:type="character" w:customStyle="1" w:styleId="DocumentMapChar">
    <w:name w:val="Document Map Char"/>
    <w:basedOn w:val="DefaultParagraphFont"/>
    <w:link w:val="DocumentMap"/>
    <w:rsid w:val="00C63303"/>
    <w:rPr>
      <w:rFonts w:asciiTheme="minorHAnsi" w:hAnsiTheme="minorHAnsi" w:cstheme="minorHAnsi"/>
      <w:kern w:val="20"/>
      <w:sz w:val="16"/>
      <w:szCs w:val="16"/>
      <w:lang w:val="en-AU" w:eastAsia="zh-CN"/>
    </w:rPr>
  </w:style>
  <w:style w:type="paragraph" w:styleId="E-mailSignature">
    <w:name w:val="E-mail Signature"/>
    <w:basedOn w:val="Normal"/>
    <w:link w:val="E-mailSignatureChar"/>
    <w:uiPriority w:val="97"/>
    <w:semiHidden/>
    <w:rsid w:val="00C63303"/>
    <w:pPr>
      <w:spacing w:after="0" w:line="240" w:lineRule="auto"/>
    </w:pPr>
  </w:style>
  <w:style w:type="character" w:customStyle="1" w:styleId="E-mailSignatureChar">
    <w:name w:val="E-mail Signature Char"/>
    <w:basedOn w:val="DefaultParagraphFont"/>
    <w:link w:val="E-mailSignature"/>
    <w:rsid w:val="00C63303"/>
    <w:rPr>
      <w:rFonts w:asciiTheme="minorHAnsi" w:hAnsiTheme="minorHAnsi" w:cstheme="minorHAnsi"/>
      <w:kern w:val="20"/>
      <w:szCs w:val="24"/>
      <w:lang w:val="en-AU" w:eastAsia="zh-CN"/>
    </w:rPr>
  </w:style>
  <w:style w:type="character" w:styleId="Emphasis">
    <w:name w:val="Emphasis"/>
    <w:basedOn w:val="DefaultParagraphFont"/>
    <w:uiPriority w:val="97"/>
    <w:semiHidden/>
    <w:rsid w:val="00C63303"/>
    <w:rPr>
      <w:rFonts w:asciiTheme="minorHAnsi" w:hAnsiTheme="minorHAnsi" w:cstheme="minorHAnsi"/>
      <w:i/>
      <w:iCs/>
    </w:rPr>
  </w:style>
  <w:style w:type="character" w:styleId="EndnoteReference">
    <w:name w:val="endnote reference"/>
    <w:basedOn w:val="DefaultParagraphFont"/>
    <w:uiPriority w:val="97"/>
    <w:semiHidden/>
    <w:rsid w:val="00C63303"/>
    <w:rPr>
      <w:rFonts w:asciiTheme="minorHAnsi" w:hAnsiTheme="minorHAnsi" w:cstheme="minorHAnsi"/>
      <w:vertAlign w:val="superscript"/>
    </w:rPr>
  </w:style>
  <w:style w:type="paragraph" w:styleId="EndnoteText">
    <w:name w:val="endnote text"/>
    <w:basedOn w:val="Normal"/>
    <w:link w:val="EndnoteTextChar"/>
    <w:uiPriority w:val="97"/>
    <w:semiHidden/>
    <w:rsid w:val="00C63303"/>
    <w:pPr>
      <w:spacing w:after="0" w:line="240" w:lineRule="auto"/>
    </w:pPr>
  </w:style>
  <w:style w:type="character" w:customStyle="1" w:styleId="EndnoteTextChar">
    <w:name w:val="Endnote Text Char"/>
    <w:basedOn w:val="DefaultParagraphFont"/>
    <w:link w:val="EndnoteText"/>
    <w:rsid w:val="00C63303"/>
    <w:rPr>
      <w:rFonts w:asciiTheme="minorHAnsi" w:hAnsiTheme="minorHAnsi" w:cstheme="minorHAnsi"/>
      <w:kern w:val="20"/>
      <w:lang w:val="en-AU" w:eastAsia="zh-CN"/>
    </w:rPr>
  </w:style>
  <w:style w:type="paragraph" w:styleId="EnvelopeAddress">
    <w:name w:val="envelope address"/>
    <w:basedOn w:val="Normal"/>
    <w:uiPriority w:val="97"/>
    <w:semiHidden/>
    <w:rsid w:val="00C63303"/>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C63303"/>
    <w:pPr>
      <w:spacing w:after="0" w:line="240" w:lineRule="auto"/>
    </w:pPr>
    <w:rPr>
      <w:rFonts w:eastAsiaTheme="majorEastAsia"/>
    </w:rPr>
  </w:style>
  <w:style w:type="character" w:styleId="FollowedHyperlink">
    <w:name w:val="FollowedHyperlink"/>
    <w:basedOn w:val="DefaultParagraphFont"/>
    <w:uiPriority w:val="97"/>
    <w:semiHidden/>
    <w:rsid w:val="00C63303"/>
    <w:rPr>
      <w:rFonts w:asciiTheme="minorHAnsi" w:hAnsiTheme="minorHAnsi" w:cstheme="minorHAnsi"/>
      <w:color w:val="675890" w:themeColor="followedHyperlink"/>
      <w:u w:val="single"/>
    </w:rPr>
  </w:style>
  <w:style w:type="character" w:styleId="FootnoteReference">
    <w:name w:val="footnote reference"/>
    <w:basedOn w:val="DefaultParagraphFont"/>
    <w:uiPriority w:val="11"/>
    <w:semiHidden/>
    <w:rsid w:val="00C63303"/>
    <w:rPr>
      <w:rFonts w:asciiTheme="minorHAnsi" w:hAnsiTheme="minorHAnsi" w:cstheme="minorHAnsi"/>
      <w:vertAlign w:val="superscript"/>
    </w:rPr>
  </w:style>
  <w:style w:type="character" w:styleId="HTMLAcronym">
    <w:name w:val="HTML Acronym"/>
    <w:basedOn w:val="DefaultParagraphFont"/>
    <w:uiPriority w:val="97"/>
    <w:semiHidden/>
    <w:rsid w:val="00C63303"/>
    <w:rPr>
      <w:rFonts w:asciiTheme="minorHAnsi" w:hAnsiTheme="minorHAnsi" w:cstheme="minorHAnsi"/>
    </w:rPr>
  </w:style>
  <w:style w:type="paragraph" w:styleId="HTMLAddress">
    <w:name w:val="HTML Address"/>
    <w:basedOn w:val="Normal"/>
    <w:link w:val="HTMLAddressChar"/>
    <w:uiPriority w:val="97"/>
    <w:semiHidden/>
    <w:rsid w:val="00C63303"/>
    <w:pPr>
      <w:spacing w:after="0" w:line="240" w:lineRule="auto"/>
    </w:pPr>
    <w:rPr>
      <w:i/>
      <w:iCs/>
    </w:rPr>
  </w:style>
  <w:style w:type="character" w:customStyle="1" w:styleId="HTMLAddressChar">
    <w:name w:val="HTML Address Char"/>
    <w:basedOn w:val="DefaultParagraphFont"/>
    <w:link w:val="HTMLAddress"/>
    <w:rsid w:val="00C63303"/>
    <w:rPr>
      <w:rFonts w:asciiTheme="minorHAnsi" w:hAnsiTheme="minorHAnsi" w:cstheme="minorHAnsi"/>
      <w:i/>
      <w:iCs/>
      <w:kern w:val="20"/>
      <w:szCs w:val="24"/>
      <w:lang w:val="en-AU" w:eastAsia="zh-CN"/>
    </w:rPr>
  </w:style>
  <w:style w:type="character" w:styleId="HTMLCite">
    <w:name w:val="HTML Cite"/>
    <w:basedOn w:val="DefaultParagraphFont"/>
    <w:uiPriority w:val="97"/>
    <w:semiHidden/>
    <w:rsid w:val="00C63303"/>
    <w:rPr>
      <w:rFonts w:asciiTheme="minorHAnsi" w:hAnsiTheme="minorHAnsi" w:cstheme="minorHAnsi"/>
      <w:i/>
      <w:iCs/>
    </w:rPr>
  </w:style>
  <w:style w:type="character" w:styleId="HTMLCode">
    <w:name w:val="HTML Code"/>
    <w:basedOn w:val="DefaultParagraphFont"/>
    <w:uiPriority w:val="97"/>
    <w:semiHidden/>
    <w:rsid w:val="00C63303"/>
    <w:rPr>
      <w:rFonts w:ascii="Consolas" w:hAnsi="Consolas" w:cs="Consolas"/>
      <w:sz w:val="20"/>
      <w:szCs w:val="20"/>
    </w:rPr>
  </w:style>
  <w:style w:type="character" w:styleId="HTMLDefinition">
    <w:name w:val="HTML Definition"/>
    <w:basedOn w:val="DefaultParagraphFont"/>
    <w:uiPriority w:val="97"/>
    <w:semiHidden/>
    <w:rsid w:val="00C63303"/>
    <w:rPr>
      <w:rFonts w:asciiTheme="minorHAnsi" w:hAnsiTheme="minorHAnsi" w:cstheme="minorHAnsi"/>
      <w:i/>
      <w:iCs/>
    </w:rPr>
  </w:style>
  <w:style w:type="character" w:styleId="HTMLKeyboard">
    <w:name w:val="HTML Keyboard"/>
    <w:basedOn w:val="DefaultParagraphFont"/>
    <w:uiPriority w:val="97"/>
    <w:semiHidden/>
    <w:rsid w:val="00C63303"/>
    <w:rPr>
      <w:rFonts w:ascii="Consolas" w:hAnsi="Consolas" w:cs="Consolas"/>
      <w:sz w:val="20"/>
      <w:szCs w:val="20"/>
    </w:rPr>
  </w:style>
  <w:style w:type="paragraph" w:styleId="HTMLPreformatted">
    <w:name w:val="HTML Preformatted"/>
    <w:basedOn w:val="Normal"/>
    <w:link w:val="HTMLPreformattedChar"/>
    <w:uiPriority w:val="97"/>
    <w:semiHidden/>
    <w:rsid w:val="00C63303"/>
    <w:pPr>
      <w:spacing w:after="0" w:line="240" w:lineRule="auto"/>
    </w:pPr>
  </w:style>
  <w:style w:type="character" w:customStyle="1" w:styleId="HTMLPreformattedChar">
    <w:name w:val="HTML Preformatted Char"/>
    <w:basedOn w:val="DefaultParagraphFont"/>
    <w:link w:val="HTMLPreformatted"/>
    <w:rsid w:val="00C63303"/>
    <w:rPr>
      <w:rFonts w:asciiTheme="minorHAnsi" w:hAnsiTheme="minorHAnsi" w:cstheme="minorHAnsi"/>
      <w:kern w:val="20"/>
      <w:lang w:val="en-AU" w:eastAsia="zh-CN"/>
    </w:rPr>
  </w:style>
  <w:style w:type="character" w:styleId="HTMLSample">
    <w:name w:val="HTML Sample"/>
    <w:basedOn w:val="DefaultParagraphFont"/>
    <w:uiPriority w:val="97"/>
    <w:semiHidden/>
    <w:rsid w:val="00C63303"/>
    <w:rPr>
      <w:rFonts w:ascii="Consolas" w:hAnsi="Consolas" w:cs="Consolas"/>
      <w:sz w:val="24"/>
      <w:szCs w:val="24"/>
    </w:rPr>
  </w:style>
  <w:style w:type="character" w:styleId="HTMLTypewriter">
    <w:name w:val="HTML Typewriter"/>
    <w:basedOn w:val="DefaultParagraphFont"/>
    <w:uiPriority w:val="97"/>
    <w:semiHidden/>
    <w:rsid w:val="00C63303"/>
    <w:rPr>
      <w:rFonts w:ascii="Consolas" w:hAnsi="Consolas" w:cs="Consolas"/>
      <w:sz w:val="20"/>
      <w:szCs w:val="20"/>
    </w:rPr>
  </w:style>
  <w:style w:type="character" w:styleId="HTMLVariable">
    <w:name w:val="HTML Variable"/>
    <w:basedOn w:val="DefaultParagraphFont"/>
    <w:uiPriority w:val="97"/>
    <w:semiHidden/>
    <w:rsid w:val="00C63303"/>
    <w:rPr>
      <w:rFonts w:asciiTheme="minorHAnsi" w:hAnsiTheme="minorHAnsi" w:cstheme="minorHAnsi"/>
      <w:i/>
      <w:iCs/>
    </w:rPr>
  </w:style>
  <w:style w:type="character" w:styleId="Hyperlink">
    <w:name w:val="Hyperlink"/>
    <w:basedOn w:val="DefaultParagraphFont"/>
    <w:uiPriority w:val="97"/>
    <w:semiHidden/>
    <w:rsid w:val="00C63303"/>
    <w:rPr>
      <w:rFonts w:asciiTheme="minorHAnsi" w:hAnsiTheme="minorHAnsi" w:cstheme="minorHAnsi"/>
      <w:color w:val="15397F" w:themeColor="hyperlink"/>
      <w:u w:val="single"/>
    </w:rPr>
  </w:style>
  <w:style w:type="paragraph" w:styleId="Index1">
    <w:name w:val="index 1"/>
    <w:basedOn w:val="Normal"/>
    <w:next w:val="Normal"/>
    <w:autoRedefine/>
    <w:uiPriority w:val="97"/>
    <w:semiHidden/>
    <w:rsid w:val="00C63303"/>
    <w:pPr>
      <w:spacing w:after="0" w:line="240" w:lineRule="auto"/>
      <w:ind w:left="200" w:hanging="200"/>
    </w:pPr>
  </w:style>
  <w:style w:type="paragraph" w:styleId="Index2">
    <w:name w:val="index 2"/>
    <w:basedOn w:val="Normal"/>
    <w:next w:val="Normal"/>
    <w:autoRedefine/>
    <w:uiPriority w:val="97"/>
    <w:semiHidden/>
    <w:rsid w:val="00C63303"/>
    <w:pPr>
      <w:spacing w:after="0" w:line="240" w:lineRule="auto"/>
      <w:ind w:left="400" w:hanging="200"/>
    </w:pPr>
  </w:style>
  <w:style w:type="paragraph" w:styleId="Index3">
    <w:name w:val="index 3"/>
    <w:basedOn w:val="Normal"/>
    <w:next w:val="Normal"/>
    <w:autoRedefine/>
    <w:uiPriority w:val="97"/>
    <w:semiHidden/>
    <w:rsid w:val="00C63303"/>
    <w:pPr>
      <w:spacing w:after="0" w:line="240" w:lineRule="auto"/>
      <w:ind w:left="600" w:hanging="200"/>
    </w:pPr>
  </w:style>
  <w:style w:type="paragraph" w:styleId="Index4">
    <w:name w:val="index 4"/>
    <w:basedOn w:val="Normal"/>
    <w:next w:val="Normal"/>
    <w:autoRedefine/>
    <w:uiPriority w:val="97"/>
    <w:semiHidden/>
    <w:rsid w:val="00C63303"/>
    <w:pPr>
      <w:spacing w:after="0" w:line="240" w:lineRule="auto"/>
      <w:ind w:left="800" w:hanging="200"/>
    </w:pPr>
  </w:style>
  <w:style w:type="paragraph" w:styleId="Index5">
    <w:name w:val="index 5"/>
    <w:basedOn w:val="Normal"/>
    <w:next w:val="Normal"/>
    <w:autoRedefine/>
    <w:uiPriority w:val="97"/>
    <w:semiHidden/>
    <w:rsid w:val="00C63303"/>
    <w:pPr>
      <w:spacing w:after="0" w:line="240" w:lineRule="auto"/>
      <w:ind w:left="1000" w:hanging="200"/>
    </w:pPr>
  </w:style>
  <w:style w:type="paragraph" w:styleId="Index6">
    <w:name w:val="index 6"/>
    <w:basedOn w:val="Normal"/>
    <w:next w:val="Normal"/>
    <w:autoRedefine/>
    <w:uiPriority w:val="97"/>
    <w:semiHidden/>
    <w:rsid w:val="00C63303"/>
    <w:pPr>
      <w:spacing w:after="0" w:line="240" w:lineRule="auto"/>
      <w:ind w:left="1200" w:hanging="200"/>
    </w:pPr>
  </w:style>
  <w:style w:type="paragraph" w:styleId="Index7">
    <w:name w:val="index 7"/>
    <w:basedOn w:val="Normal"/>
    <w:next w:val="Normal"/>
    <w:autoRedefine/>
    <w:uiPriority w:val="97"/>
    <w:semiHidden/>
    <w:rsid w:val="00C63303"/>
    <w:pPr>
      <w:spacing w:after="0" w:line="240" w:lineRule="auto"/>
      <w:ind w:left="1400" w:hanging="200"/>
    </w:pPr>
  </w:style>
  <w:style w:type="paragraph" w:styleId="Index8">
    <w:name w:val="index 8"/>
    <w:basedOn w:val="Normal"/>
    <w:next w:val="Normal"/>
    <w:autoRedefine/>
    <w:uiPriority w:val="97"/>
    <w:semiHidden/>
    <w:rsid w:val="00C63303"/>
    <w:pPr>
      <w:spacing w:after="0" w:line="240" w:lineRule="auto"/>
      <w:ind w:left="1600" w:hanging="200"/>
    </w:pPr>
  </w:style>
  <w:style w:type="paragraph" w:styleId="Index9">
    <w:name w:val="index 9"/>
    <w:basedOn w:val="Normal"/>
    <w:next w:val="Normal"/>
    <w:autoRedefine/>
    <w:uiPriority w:val="97"/>
    <w:semiHidden/>
    <w:rsid w:val="00C63303"/>
    <w:pPr>
      <w:spacing w:after="0" w:line="240" w:lineRule="auto"/>
      <w:ind w:left="1800" w:hanging="200"/>
    </w:pPr>
  </w:style>
  <w:style w:type="paragraph" w:styleId="IndexHeading">
    <w:name w:val="index heading"/>
    <w:basedOn w:val="Normal"/>
    <w:next w:val="Index1"/>
    <w:uiPriority w:val="97"/>
    <w:semiHidden/>
    <w:rsid w:val="00C63303"/>
    <w:rPr>
      <w:rFonts w:asciiTheme="majorHAnsi" w:eastAsiaTheme="majorEastAsia" w:hAnsiTheme="majorHAnsi" w:cstheme="majorHAnsi"/>
      <w:b/>
      <w:bCs/>
    </w:rPr>
  </w:style>
  <w:style w:type="character" w:styleId="IntenseEmphasis">
    <w:name w:val="Intense Emphasis"/>
    <w:basedOn w:val="DefaultParagraphFont"/>
    <w:uiPriority w:val="97"/>
    <w:semiHidden/>
    <w:rsid w:val="00C63303"/>
    <w:rPr>
      <w:rFonts w:asciiTheme="minorHAnsi" w:hAnsiTheme="minorHAnsi" w:cstheme="minorHAnsi"/>
      <w:b/>
      <w:bCs/>
      <w:i/>
      <w:iCs/>
      <w:color w:val="00A5D4" w:themeColor="accent1"/>
    </w:rPr>
  </w:style>
  <w:style w:type="paragraph" w:styleId="IntenseQuote">
    <w:name w:val="Intense Quote"/>
    <w:basedOn w:val="Normal"/>
    <w:next w:val="Normal"/>
    <w:link w:val="IntenseQuoteChar"/>
    <w:uiPriority w:val="97"/>
    <w:semiHidden/>
    <w:rsid w:val="00C63303"/>
    <w:pPr>
      <w:pBdr>
        <w:bottom w:val="single" w:sz="4" w:space="4" w:color="00A5D4" w:themeColor="accent1"/>
      </w:pBdr>
      <w:spacing w:before="200" w:after="280"/>
      <w:ind w:left="936" w:right="936"/>
    </w:pPr>
    <w:rPr>
      <w:b/>
      <w:bCs/>
      <w:i/>
      <w:iCs/>
      <w:color w:val="00A5D4" w:themeColor="accent1"/>
    </w:rPr>
  </w:style>
  <w:style w:type="character" w:customStyle="1" w:styleId="IntenseQuoteChar">
    <w:name w:val="Intense Quote Char"/>
    <w:basedOn w:val="DefaultParagraphFont"/>
    <w:link w:val="IntenseQuote"/>
    <w:uiPriority w:val="30"/>
    <w:rsid w:val="00C63303"/>
    <w:rPr>
      <w:rFonts w:asciiTheme="minorHAnsi" w:hAnsiTheme="minorHAnsi" w:cstheme="minorHAnsi"/>
      <w:b/>
      <w:bCs/>
      <w:i/>
      <w:iCs/>
      <w:color w:val="00A5D4" w:themeColor="accent1"/>
      <w:kern w:val="20"/>
      <w:szCs w:val="24"/>
      <w:lang w:val="en-AU" w:eastAsia="zh-CN"/>
    </w:rPr>
  </w:style>
  <w:style w:type="character" w:styleId="IntenseReference">
    <w:name w:val="Intense Reference"/>
    <w:basedOn w:val="DefaultParagraphFont"/>
    <w:uiPriority w:val="97"/>
    <w:semiHidden/>
    <w:rsid w:val="00C63303"/>
    <w:rPr>
      <w:rFonts w:asciiTheme="minorHAnsi" w:hAnsiTheme="minorHAnsi" w:cstheme="minorHAnsi"/>
      <w:b/>
      <w:bCs/>
      <w:smallCaps/>
      <w:color w:val="F3C42C" w:themeColor="accent2"/>
      <w:spacing w:val="5"/>
      <w:u w:val="single"/>
    </w:rPr>
  </w:style>
  <w:style w:type="table" w:styleId="LightGrid">
    <w:name w:val="Light Grid"/>
    <w:basedOn w:val="TableNormal"/>
    <w:uiPriority w:val="98"/>
    <w:rsid w:val="00C6330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Ind w:w="0" w:type="dxa"/>
      <w:tblBorders>
        <w:top w:val="single" w:sz="8" w:space="0" w:color="00A5D4" w:themeColor="accent1"/>
        <w:left w:val="single" w:sz="8" w:space="0" w:color="00A5D4" w:themeColor="accent1"/>
        <w:bottom w:val="single" w:sz="8" w:space="0" w:color="00A5D4" w:themeColor="accent1"/>
        <w:right w:val="single" w:sz="8" w:space="0" w:color="00A5D4" w:themeColor="accent1"/>
        <w:insideH w:val="single" w:sz="8" w:space="0" w:color="00A5D4" w:themeColor="accent1"/>
        <w:insideV w:val="single" w:sz="8" w:space="0" w:color="00A5D4"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A5D4" w:themeColor="accent1"/>
          <w:left w:val="single" w:sz="8" w:space="0" w:color="00A5D4" w:themeColor="accent1"/>
          <w:bottom w:val="single" w:sz="18" w:space="0" w:color="00A5D4" w:themeColor="accent1"/>
          <w:right w:val="single" w:sz="8" w:space="0" w:color="00A5D4" w:themeColor="accent1"/>
          <w:insideH w:val="nil"/>
          <w:insideV w:val="single" w:sz="8" w:space="0" w:color="00A5D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D4" w:themeColor="accent1"/>
          <w:left w:val="single" w:sz="8" w:space="0" w:color="00A5D4" w:themeColor="accent1"/>
          <w:bottom w:val="single" w:sz="8" w:space="0" w:color="00A5D4" w:themeColor="accent1"/>
          <w:right w:val="single" w:sz="8" w:space="0" w:color="00A5D4" w:themeColor="accent1"/>
          <w:insideH w:val="nil"/>
          <w:insideV w:val="single" w:sz="8" w:space="0" w:color="00A5D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D4" w:themeColor="accent1"/>
          <w:left w:val="single" w:sz="8" w:space="0" w:color="00A5D4" w:themeColor="accent1"/>
          <w:bottom w:val="single" w:sz="8" w:space="0" w:color="00A5D4" w:themeColor="accent1"/>
          <w:right w:val="single" w:sz="8" w:space="0" w:color="00A5D4" w:themeColor="accent1"/>
        </w:tcBorders>
      </w:tcPr>
    </w:tblStylePr>
    <w:tblStylePr w:type="band1Vert">
      <w:tblPr/>
      <w:tcPr>
        <w:tcBorders>
          <w:top w:val="single" w:sz="8" w:space="0" w:color="00A5D4" w:themeColor="accent1"/>
          <w:left w:val="single" w:sz="8" w:space="0" w:color="00A5D4" w:themeColor="accent1"/>
          <w:bottom w:val="single" w:sz="8" w:space="0" w:color="00A5D4" w:themeColor="accent1"/>
          <w:right w:val="single" w:sz="8" w:space="0" w:color="00A5D4" w:themeColor="accent1"/>
        </w:tcBorders>
        <w:shd w:val="clear" w:color="auto" w:fill="B5EEFF" w:themeFill="accent1" w:themeFillTint="3F"/>
      </w:tcPr>
    </w:tblStylePr>
    <w:tblStylePr w:type="band1Horz">
      <w:tblPr/>
      <w:tcPr>
        <w:tcBorders>
          <w:top w:val="single" w:sz="8" w:space="0" w:color="00A5D4" w:themeColor="accent1"/>
          <w:left w:val="single" w:sz="8" w:space="0" w:color="00A5D4" w:themeColor="accent1"/>
          <w:bottom w:val="single" w:sz="8" w:space="0" w:color="00A5D4" w:themeColor="accent1"/>
          <w:right w:val="single" w:sz="8" w:space="0" w:color="00A5D4" w:themeColor="accent1"/>
          <w:insideV w:val="single" w:sz="8" w:space="0" w:color="00A5D4" w:themeColor="accent1"/>
        </w:tcBorders>
        <w:shd w:val="clear" w:color="auto" w:fill="B5EEFF" w:themeFill="accent1" w:themeFillTint="3F"/>
      </w:tcPr>
    </w:tblStylePr>
    <w:tblStylePr w:type="band2Horz">
      <w:tblPr/>
      <w:tcPr>
        <w:tcBorders>
          <w:top w:val="single" w:sz="8" w:space="0" w:color="00A5D4" w:themeColor="accent1"/>
          <w:left w:val="single" w:sz="8" w:space="0" w:color="00A5D4" w:themeColor="accent1"/>
          <w:bottom w:val="single" w:sz="8" w:space="0" w:color="00A5D4" w:themeColor="accent1"/>
          <w:right w:val="single" w:sz="8" w:space="0" w:color="00A5D4" w:themeColor="accent1"/>
          <w:insideV w:val="single" w:sz="8" w:space="0" w:color="00A5D4" w:themeColor="accent1"/>
        </w:tcBorders>
      </w:tcPr>
    </w:tblStylePr>
  </w:style>
  <w:style w:type="table" w:styleId="LightGrid-Accent2">
    <w:name w:val="Light Grid Accent 2"/>
    <w:basedOn w:val="TableNormal"/>
    <w:uiPriority w:val="98"/>
    <w:rsid w:val="00C63303"/>
    <w:tblPr>
      <w:tblStyleRowBandSize w:val="1"/>
      <w:tblStyleColBandSize w:val="1"/>
      <w:tblInd w:w="0" w:type="dxa"/>
      <w:tblBorders>
        <w:top w:val="single" w:sz="8" w:space="0" w:color="F3C42C" w:themeColor="accent2"/>
        <w:left w:val="single" w:sz="8" w:space="0" w:color="F3C42C" w:themeColor="accent2"/>
        <w:bottom w:val="single" w:sz="8" w:space="0" w:color="F3C42C" w:themeColor="accent2"/>
        <w:right w:val="single" w:sz="8" w:space="0" w:color="F3C42C" w:themeColor="accent2"/>
        <w:insideH w:val="single" w:sz="8" w:space="0" w:color="F3C42C" w:themeColor="accent2"/>
        <w:insideV w:val="single" w:sz="8" w:space="0" w:color="F3C42C"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3C42C" w:themeColor="accent2"/>
          <w:left w:val="single" w:sz="8" w:space="0" w:color="F3C42C" w:themeColor="accent2"/>
          <w:bottom w:val="single" w:sz="18" w:space="0" w:color="F3C42C" w:themeColor="accent2"/>
          <w:right w:val="single" w:sz="8" w:space="0" w:color="F3C42C" w:themeColor="accent2"/>
          <w:insideH w:val="nil"/>
          <w:insideV w:val="single" w:sz="8" w:space="0" w:color="F3C42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C42C" w:themeColor="accent2"/>
          <w:left w:val="single" w:sz="8" w:space="0" w:color="F3C42C" w:themeColor="accent2"/>
          <w:bottom w:val="single" w:sz="8" w:space="0" w:color="F3C42C" w:themeColor="accent2"/>
          <w:right w:val="single" w:sz="8" w:space="0" w:color="F3C42C" w:themeColor="accent2"/>
          <w:insideH w:val="nil"/>
          <w:insideV w:val="single" w:sz="8" w:space="0" w:color="F3C42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C42C" w:themeColor="accent2"/>
          <w:left w:val="single" w:sz="8" w:space="0" w:color="F3C42C" w:themeColor="accent2"/>
          <w:bottom w:val="single" w:sz="8" w:space="0" w:color="F3C42C" w:themeColor="accent2"/>
          <w:right w:val="single" w:sz="8" w:space="0" w:color="F3C42C" w:themeColor="accent2"/>
        </w:tcBorders>
      </w:tcPr>
    </w:tblStylePr>
    <w:tblStylePr w:type="band1Vert">
      <w:tblPr/>
      <w:tcPr>
        <w:tcBorders>
          <w:top w:val="single" w:sz="8" w:space="0" w:color="F3C42C" w:themeColor="accent2"/>
          <w:left w:val="single" w:sz="8" w:space="0" w:color="F3C42C" w:themeColor="accent2"/>
          <w:bottom w:val="single" w:sz="8" w:space="0" w:color="F3C42C" w:themeColor="accent2"/>
          <w:right w:val="single" w:sz="8" w:space="0" w:color="F3C42C" w:themeColor="accent2"/>
        </w:tcBorders>
        <w:shd w:val="clear" w:color="auto" w:fill="FCF0CA" w:themeFill="accent2" w:themeFillTint="3F"/>
      </w:tcPr>
    </w:tblStylePr>
    <w:tblStylePr w:type="band1Horz">
      <w:tblPr/>
      <w:tcPr>
        <w:tcBorders>
          <w:top w:val="single" w:sz="8" w:space="0" w:color="F3C42C" w:themeColor="accent2"/>
          <w:left w:val="single" w:sz="8" w:space="0" w:color="F3C42C" w:themeColor="accent2"/>
          <w:bottom w:val="single" w:sz="8" w:space="0" w:color="F3C42C" w:themeColor="accent2"/>
          <w:right w:val="single" w:sz="8" w:space="0" w:color="F3C42C" w:themeColor="accent2"/>
          <w:insideV w:val="single" w:sz="8" w:space="0" w:color="F3C42C" w:themeColor="accent2"/>
        </w:tcBorders>
        <w:shd w:val="clear" w:color="auto" w:fill="FCF0CA" w:themeFill="accent2" w:themeFillTint="3F"/>
      </w:tcPr>
    </w:tblStylePr>
    <w:tblStylePr w:type="band2Horz">
      <w:tblPr/>
      <w:tcPr>
        <w:tcBorders>
          <w:top w:val="single" w:sz="8" w:space="0" w:color="F3C42C" w:themeColor="accent2"/>
          <w:left w:val="single" w:sz="8" w:space="0" w:color="F3C42C" w:themeColor="accent2"/>
          <w:bottom w:val="single" w:sz="8" w:space="0" w:color="F3C42C" w:themeColor="accent2"/>
          <w:right w:val="single" w:sz="8" w:space="0" w:color="F3C42C" w:themeColor="accent2"/>
          <w:insideV w:val="single" w:sz="8" w:space="0" w:color="F3C42C" w:themeColor="accent2"/>
        </w:tcBorders>
      </w:tcPr>
    </w:tblStylePr>
  </w:style>
  <w:style w:type="table" w:styleId="LightGrid-Accent3">
    <w:name w:val="Light Grid Accent 3"/>
    <w:basedOn w:val="TableNormal"/>
    <w:uiPriority w:val="98"/>
    <w:rsid w:val="00C63303"/>
    <w:tblPr>
      <w:tblStyleRowBandSize w:val="1"/>
      <w:tblStyleColBandSize w:val="1"/>
      <w:tblInd w:w="0" w:type="dxa"/>
      <w:tblBorders>
        <w:top w:val="single" w:sz="8" w:space="0" w:color="16AB9B" w:themeColor="accent3"/>
        <w:left w:val="single" w:sz="8" w:space="0" w:color="16AB9B" w:themeColor="accent3"/>
        <w:bottom w:val="single" w:sz="8" w:space="0" w:color="16AB9B" w:themeColor="accent3"/>
        <w:right w:val="single" w:sz="8" w:space="0" w:color="16AB9B" w:themeColor="accent3"/>
        <w:insideH w:val="single" w:sz="8" w:space="0" w:color="16AB9B" w:themeColor="accent3"/>
        <w:insideV w:val="single" w:sz="8" w:space="0" w:color="16AB9B"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16AB9B" w:themeColor="accent3"/>
          <w:left w:val="single" w:sz="8" w:space="0" w:color="16AB9B" w:themeColor="accent3"/>
          <w:bottom w:val="single" w:sz="18" w:space="0" w:color="16AB9B" w:themeColor="accent3"/>
          <w:right w:val="single" w:sz="8" w:space="0" w:color="16AB9B" w:themeColor="accent3"/>
          <w:insideH w:val="nil"/>
          <w:insideV w:val="single" w:sz="8" w:space="0" w:color="16AB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AB9B" w:themeColor="accent3"/>
          <w:left w:val="single" w:sz="8" w:space="0" w:color="16AB9B" w:themeColor="accent3"/>
          <w:bottom w:val="single" w:sz="8" w:space="0" w:color="16AB9B" w:themeColor="accent3"/>
          <w:right w:val="single" w:sz="8" w:space="0" w:color="16AB9B" w:themeColor="accent3"/>
          <w:insideH w:val="nil"/>
          <w:insideV w:val="single" w:sz="8" w:space="0" w:color="16AB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AB9B" w:themeColor="accent3"/>
          <w:left w:val="single" w:sz="8" w:space="0" w:color="16AB9B" w:themeColor="accent3"/>
          <w:bottom w:val="single" w:sz="8" w:space="0" w:color="16AB9B" w:themeColor="accent3"/>
          <w:right w:val="single" w:sz="8" w:space="0" w:color="16AB9B" w:themeColor="accent3"/>
        </w:tcBorders>
      </w:tcPr>
    </w:tblStylePr>
    <w:tblStylePr w:type="band1Vert">
      <w:tblPr/>
      <w:tcPr>
        <w:tcBorders>
          <w:top w:val="single" w:sz="8" w:space="0" w:color="16AB9B" w:themeColor="accent3"/>
          <w:left w:val="single" w:sz="8" w:space="0" w:color="16AB9B" w:themeColor="accent3"/>
          <w:bottom w:val="single" w:sz="8" w:space="0" w:color="16AB9B" w:themeColor="accent3"/>
          <w:right w:val="single" w:sz="8" w:space="0" w:color="16AB9B" w:themeColor="accent3"/>
        </w:tcBorders>
        <w:shd w:val="clear" w:color="auto" w:fill="B9F6EF" w:themeFill="accent3" w:themeFillTint="3F"/>
      </w:tcPr>
    </w:tblStylePr>
    <w:tblStylePr w:type="band1Horz">
      <w:tblPr/>
      <w:tcPr>
        <w:tcBorders>
          <w:top w:val="single" w:sz="8" w:space="0" w:color="16AB9B" w:themeColor="accent3"/>
          <w:left w:val="single" w:sz="8" w:space="0" w:color="16AB9B" w:themeColor="accent3"/>
          <w:bottom w:val="single" w:sz="8" w:space="0" w:color="16AB9B" w:themeColor="accent3"/>
          <w:right w:val="single" w:sz="8" w:space="0" w:color="16AB9B" w:themeColor="accent3"/>
          <w:insideV w:val="single" w:sz="8" w:space="0" w:color="16AB9B" w:themeColor="accent3"/>
        </w:tcBorders>
        <w:shd w:val="clear" w:color="auto" w:fill="B9F6EF" w:themeFill="accent3" w:themeFillTint="3F"/>
      </w:tcPr>
    </w:tblStylePr>
    <w:tblStylePr w:type="band2Horz">
      <w:tblPr/>
      <w:tcPr>
        <w:tcBorders>
          <w:top w:val="single" w:sz="8" w:space="0" w:color="16AB9B" w:themeColor="accent3"/>
          <w:left w:val="single" w:sz="8" w:space="0" w:color="16AB9B" w:themeColor="accent3"/>
          <w:bottom w:val="single" w:sz="8" w:space="0" w:color="16AB9B" w:themeColor="accent3"/>
          <w:right w:val="single" w:sz="8" w:space="0" w:color="16AB9B" w:themeColor="accent3"/>
          <w:insideV w:val="single" w:sz="8" w:space="0" w:color="16AB9B" w:themeColor="accent3"/>
        </w:tcBorders>
      </w:tcPr>
    </w:tblStylePr>
  </w:style>
  <w:style w:type="table" w:styleId="LightGrid-Accent4">
    <w:name w:val="Light Grid Accent 4"/>
    <w:basedOn w:val="TableNormal"/>
    <w:uiPriority w:val="98"/>
    <w:rsid w:val="00C63303"/>
    <w:tblPr>
      <w:tblStyleRowBandSize w:val="1"/>
      <w:tblStyleColBandSize w:val="1"/>
      <w:tblInd w:w="0" w:type="dxa"/>
      <w:tblBorders>
        <w:top w:val="single" w:sz="8" w:space="0" w:color="675890" w:themeColor="accent4"/>
        <w:left w:val="single" w:sz="8" w:space="0" w:color="675890" w:themeColor="accent4"/>
        <w:bottom w:val="single" w:sz="8" w:space="0" w:color="675890" w:themeColor="accent4"/>
        <w:right w:val="single" w:sz="8" w:space="0" w:color="675890" w:themeColor="accent4"/>
        <w:insideH w:val="single" w:sz="8" w:space="0" w:color="675890" w:themeColor="accent4"/>
        <w:insideV w:val="single" w:sz="8" w:space="0" w:color="67589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75890" w:themeColor="accent4"/>
          <w:left w:val="single" w:sz="8" w:space="0" w:color="675890" w:themeColor="accent4"/>
          <w:bottom w:val="single" w:sz="18" w:space="0" w:color="675890" w:themeColor="accent4"/>
          <w:right w:val="single" w:sz="8" w:space="0" w:color="675890" w:themeColor="accent4"/>
          <w:insideH w:val="nil"/>
          <w:insideV w:val="single" w:sz="8" w:space="0" w:color="6758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890" w:themeColor="accent4"/>
          <w:left w:val="single" w:sz="8" w:space="0" w:color="675890" w:themeColor="accent4"/>
          <w:bottom w:val="single" w:sz="8" w:space="0" w:color="675890" w:themeColor="accent4"/>
          <w:right w:val="single" w:sz="8" w:space="0" w:color="675890" w:themeColor="accent4"/>
          <w:insideH w:val="nil"/>
          <w:insideV w:val="single" w:sz="8" w:space="0" w:color="6758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890" w:themeColor="accent4"/>
          <w:left w:val="single" w:sz="8" w:space="0" w:color="675890" w:themeColor="accent4"/>
          <w:bottom w:val="single" w:sz="8" w:space="0" w:color="675890" w:themeColor="accent4"/>
          <w:right w:val="single" w:sz="8" w:space="0" w:color="675890" w:themeColor="accent4"/>
        </w:tcBorders>
      </w:tcPr>
    </w:tblStylePr>
    <w:tblStylePr w:type="band1Vert">
      <w:tblPr/>
      <w:tcPr>
        <w:tcBorders>
          <w:top w:val="single" w:sz="8" w:space="0" w:color="675890" w:themeColor="accent4"/>
          <w:left w:val="single" w:sz="8" w:space="0" w:color="675890" w:themeColor="accent4"/>
          <w:bottom w:val="single" w:sz="8" w:space="0" w:color="675890" w:themeColor="accent4"/>
          <w:right w:val="single" w:sz="8" w:space="0" w:color="675890" w:themeColor="accent4"/>
        </w:tcBorders>
        <w:shd w:val="clear" w:color="auto" w:fill="D8D4E4" w:themeFill="accent4" w:themeFillTint="3F"/>
      </w:tcPr>
    </w:tblStylePr>
    <w:tblStylePr w:type="band1Horz">
      <w:tblPr/>
      <w:tcPr>
        <w:tcBorders>
          <w:top w:val="single" w:sz="8" w:space="0" w:color="675890" w:themeColor="accent4"/>
          <w:left w:val="single" w:sz="8" w:space="0" w:color="675890" w:themeColor="accent4"/>
          <w:bottom w:val="single" w:sz="8" w:space="0" w:color="675890" w:themeColor="accent4"/>
          <w:right w:val="single" w:sz="8" w:space="0" w:color="675890" w:themeColor="accent4"/>
          <w:insideV w:val="single" w:sz="8" w:space="0" w:color="675890" w:themeColor="accent4"/>
        </w:tcBorders>
        <w:shd w:val="clear" w:color="auto" w:fill="D8D4E4" w:themeFill="accent4" w:themeFillTint="3F"/>
      </w:tcPr>
    </w:tblStylePr>
    <w:tblStylePr w:type="band2Horz">
      <w:tblPr/>
      <w:tcPr>
        <w:tcBorders>
          <w:top w:val="single" w:sz="8" w:space="0" w:color="675890" w:themeColor="accent4"/>
          <w:left w:val="single" w:sz="8" w:space="0" w:color="675890" w:themeColor="accent4"/>
          <w:bottom w:val="single" w:sz="8" w:space="0" w:color="675890" w:themeColor="accent4"/>
          <w:right w:val="single" w:sz="8" w:space="0" w:color="675890" w:themeColor="accent4"/>
          <w:insideV w:val="single" w:sz="8" w:space="0" w:color="675890" w:themeColor="accent4"/>
        </w:tcBorders>
      </w:tcPr>
    </w:tblStylePr>
  </w:style>
  <w:style w:type="table" w:styleId="LightGrid-Accent5">
    <w:name w:val="Light Grid Accent 5"/>
    <w:basedOn w:val="TableNormal"/>
    <w:uiPriority w:val="98"/>
    <w:rsid w:val="00C63303"/>
    <w:tblPr>
      <w:tblStyleRowBandSize w:val="1"/>
      <w:tblStyleColBandSize w:val="1"/>
      <w:tblInd w:w="0" w:type="dxa"/>
      <w:tblBorders>
        <w:top w:val="single" w:sz="8" w:space="0" w:color="9C7761" w:themeColor="accent5"/>
        <w:left w:val="single" w:sz="8" w:space="0" w:color="9C7761" w:themeColor="accent5"/>
        <w:bottom w:val="single" w:sz="8" w:space="0" w:color="9C7761" w:themeColor="accent5"/>
        <w:right w:val="single" w:sz="8" w:space="0" w:color="9C7761" w:themeColor="accent5"/>
        <w:insideH w:val="single" w:sz="8" w:space="0" w:color="9C7761" w:themeColor="accent5"/>
        <w:insideV w:val="single" w:sz="8" w:space="0" w:color="9C7761"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C7761" w:themeColor="accent5"/>
          <w:left w:val="single" w:sz="8" w:space="0" w:color="9C7761" w:themeColor="accent5"/>
          <w:bottom w:val="single" w:sz="18" w:space="0" w:color="9C7761" w:themeColor="accent5"/>
          <w:right w:val="single" w:sz="8" w:space="0" w:color="9C7761" w:themeColor="accent5"/>
          <w:insideH w:val="nil"/>
          <w:insideV w:val="single" w:sz="8" w:space="0" w:color="9C776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7761" w:themeColor="accent5"/>
          <w:left w:val="single" w:sz="8" w:space="0" w:color="9C7761" w:themeColor="accent5"/>
          <w:bottom w:val="single" w:sz="8" w:space="0" w:color="9C7761" w:themeColor="accent5"/>
          <w:right w:val="single" w:sz="8" w:space="0" w:color="9C7761" w:themeColor="accent5"/>
          <w:insideH w:val="nil"/>
          <w:insideV w:val="single" w:sz="8" w:space="0" w:color="9C776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7761" w:themeColor="accent5"/>
          <w:left w:val="single" w:sz="8" w:space="0" w:color="9C7761" w:themeColor="accent5"/>
          <w:bottom w:val="single" w:sz="8" w:space="0" w:color="9C7761" w:themeColor="accent5"/>
          <w:right w:val="single" w:sz="8" w:space="0" w:color="9C7761" w:themeColor="accent5"/>
        </w:tcBorders>
      </w:tcPr>
    </w:tblStylePr>
    <w:tblStylePr w:type="band1Vert">
      <w:tblPr/>
      <w:tcPr>
        <w:tcBorders>
          <w:top w:val="single" w:sz="8" w:space="0" w:color="9C7761" w:themeColor="accent5"/>
          <w:left w:val="single" w:sz="8" w:space="0" w:color="9C7761" w:themeColor="accent5"/>
          <w:bottom w:val="single" w:sz="8" w:space="0" w:color="9C7761" w:themeColor="accent5"/>
          <w:right w:val="single" w:sz="8" w:space="0" w:color="9C7761" w:themeColor="accent5"/>
        </w:tcBorders>
        <w:shd w:val="clear" w:color="auto" w:fill="E6DDD7" w:themeFill="accent5" w:themeFillTint="3F"/>
      </w:tcPr>
    </w:tblStylePr>
    <w:tblStylePr w:type="band1Horz">
      <w:tblPr/>
      <w:tcPr>
        <w:tcBorders>
          <w:top w:val="single" w:sz="8" w:space="0" w:color="9C7761" w:themeColor="accent5"/>
          <w:left w:val="single" w:sz="8" w:space="0" w:color="9C7761" w:themeColor="accent5"/>
          <w:bottom w:val="single" w:sz="8" w:space="0" w:color="9C7761" w:themeColor="accent5"/>
          <w:right w:val="single" w:sz="8" w:space="0" w:color="9C7761" w:themeColor="accent5"/>
          <w:insideV w:val="single" w:sz="8" w:space="0" w:color="9C7761" w:themeColor="accent5"/>
        </w:tcBorders>
        <w:shd w:val="clear" w:color="auto" w:fill="E6DDD7" w:themeFill="accent5" w:themeFillTint="3F"/>
      </w:tcPr>
    </w:tblStylePr>
    <w:tblStylePr w:type="band2Horz">
      <w:tblPr/>
      <w:tcPr>
        <w:tcBorders>
          <w:top w:val="single" w:sz="8" w:space="0" w:color="9C7761" w:themeColor="accent5"/>
          <w:left w:val="single" w:sz="8" w:space="0" w:color="9C7761" w:themeColor="accent5"/>
          <w:bottom w:val="single" w:sz="8" w:space="0" w:color="9C7761" w:themeColor="accent5"/>
          <w:right w:val="single" w:sz="8" w:space="0" w:color="9C7761" w:themeColor="accent5"/>
          <w:insideV w:val="single" w:sz="8" w:space="0" w:color="9C7761" w:themeColor="accent5"/>
        </w:tcBorders>
      </w:tcPr>
    </w:tblStylePr>
  </w:style>
  <w:style w:type="table" w:styleId="LightGrid-Accent6">
    <w:name w:val="Light Grid Accent 6"/>
    <w:basedOn w:val="TableNormal"/>
    <w:uiPriority w:val="98"/>
    <w:rsid w:val="00C63303"/>
    <w:tblPr>
      <w:tblStyleRowBandSize w:val="1"/>
      <w:tblStyleColBandSize w:val="1"/>
      <w:tblInd w:w="0" w:type="dxa"/>
      <w:tblBorders>
        <w:top w:val="single" w:sz="8" w:space="0" w:color="AD123C" w:themeColor="accent6"/>
        <w:left w:val="single" w:sz="8" w:space="0" w:color="AD123C" w:themeColor="accent6"/>
        <w:bottom w:val="single" w:sz="8" w:space="0" w:color="AD123C" w:themeColor="accent6"/>
        <w:right w:val="single" w:sz="8" w:space="0" w:color="AD123C" w:themeColor="accent6"/>
        <w:insideH w:val="single" w:sz="8" w:space="0" w:color="AD123C" w:themeColor="accent6"/>
        <w:insideV w:val="single" w:sz="8" w:space="0" w:color="AD123C"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D123C" w:themeColor="accent6"/>
          <w:left w:val="single" w:sz="8" w:space="0" w:color="AD123C" w:themeColor="accent6"/>
          <w:bottom w:val="single" w:sz="18" w:space="0" w:color="AD123C" w:themeColor="accent6"/>
          <w:right w:val="single" w:sz="8" w:space="0" w:color="AD123C" w:themeColor="accent6"/>
          <w:insideH w:val="nil"/>
          <w:insideV w:val="single" w:sz="8" w:space="0" w:color="AD12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123C" w:themeColor="accent6"/>
          <w:left w:val="single" w:sz="8" w:space="0" w:color="AD123C" w:themeColor="accent6"/>
          <w:bottom w:val="single" w:sz="8" w:space="0" w:color="AD123C" w:themeColor="accent6"/>
          <w:right w:val="single" w:sz="8" w:space="0" w:color="AD123C" w:themeColor="accent6"/>
          <w:insideH w:val="nil"/>
          <w:insideV w:val="single" w:sz="8" w:space="0" w:color="AD12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123C" w:themeColor="accent6"/>
          <w:left w:val="single" w:sz="8" w:space="0" w:color="AD123C" w:themeColor="accent6"/>
          <w:bottom w:val="single" w:sz="8" w:space="0" w:color="AD123C" w:themeColor="accent6"/>
          <w:right w:val="single" w:sz="8" w:space="0" w:color="AD123C" w:themeColor="accent6"/>
        </w:tcBorders>
      </w:tcPr>
    </w:tblStylePr>
    <w:tblStylePr w:type="band1Vert">
      <w:tblPr/>
      <w:tcPr>
        <w:tcBorders>
          <w:top w:val="single" w:sz="8" w:space="0" w:color="AD123C" w:themeColor="accent6"/>
          <w:left w:val="single" w:sz="8" w:space="0" w:color="AD123C" w:themeColor="accent6"/>
          <w:bottom w:val="single" w:sz="8" w:space="0" w:color="AD123C" w:themeColor="accent6"/>
          <w:right w:val="single" w:sz="8" w:space="0" w:color="AD123C" w:themeColor="accent6"/>
        </w:tcBorders>
        <w:shd w:val="clear" w:color="auto" w:fill="F7B7C8" w:themeFill="accent6" w:themeFillTint="3F"/>
      </w:tcPr>
    </w:tblStylePr>
    <w:tblStylePr w:type="band1Horz">
      <w:tblPr/>
      <w:tcPr>
        <w:tcBorders>
          <w:top w:val="single" w:sz="8" w:space="0" w:color="AD123C" w:themeColor="accent6"/>
          <w:left w:val="single" w:sz="8" w:space="0" w:color="AD123C" w:themeColor="accent6"/>
          <w:bottom w:val="single" w:sz="8" w:space="0" w:color="AD123C" w:themeColor="accent6"/>
          <w:right w:val="single" w:sz="8" w:space="0" w:color="AD123C" w:themeColor="accent6"/>
          <w:insideV w:val="single" w:sz="8" w:space="0" w:color="AD123C" w:themeColor="accent6"/>
        </w:tcBorders>
        <w:shd w:val="clear" w:color="auto" w:fill="F7B7C8" w:themeFill="accent6" w:themeFillTint="3F"/>
      </w:tcPr>
    </w:tblStylePr>
    <w:tblStylePr w:type="band2Horz">
      <w:tblPr/>
      <w:tcPr>
        <w:tcBorders>
          <w:top w:val="single" w:sz="8" w:space="0" w:color="AD123C" w:themeColor="accent6"/>
          <w:left w:val="single" w:sz="8" w:space="0" w:color="AD123C" w:themeColor="accent6"/>
          <w:bottom w:val="single" w:sz="8" w:space="0" w:color="AD123C" w:themeColor="accent6"/>
          <w:right w:val="single" w:sz="8" w:space="0" w:color="AD123C" w:themeColor="accent6"/>
          <w:insideV w:val="single" w:sz="8" w:space="0" w:color="AD123C" w:themeColor="accent6"/>
        </w:tcBorders>
      </w:tcPr>
    </w:tblStylePr>
  </w:style>
  <w:style w:type="table" w:styleId="LightList">
    <w:name w:val="Light List"/>
    <w:basedOn w:val="TableNormal"/>
    <w:uiPriority w:val="98"/>
    <w:rsid w:val="00C6330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Ind w:w="0" w:type="dxa"/>
      <w:tblBorders>
        <w:top w:val="single" w:sz="8" w:space="0" w:color="00A5D4" w:themeColor="accent1"/>
        <w:left w:val="single" w:sz="8" w:space="0" w:color="00A5D4" w:themeColor="accent1"/>
        <w:bottom w:val="single" w:sz="8" w:space="0" w:color="00A5D4" w:themeColor="accent1"/>
        <w:right w:val="single" w:sz="8" w:space="0" w:color="00A5D4"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A5D4" w:themeFill="accent1"/>
      </w:tcPr>
    </w:tblStylePr>
    <w:tblStylePr w:type="lastRow">
      <w:pPr>
        <w:spacing w:before="0" w:after="0" w:line="240" w:lineRule="auto"/>
      </w:pPr>
      <w:rPr>
        <w:b/>
        <w:bCs/>
      </w:rPr>
      <w:tblPr/>
      <w:tcPr>
        <w:tcBorders>
          <w:top w:val="double" w:sz="6" w:space="0" w:color="00A5D4" w:themeColor="accent1"/>
          <w:left w:val="single" w:sz="8" w:space="0" w:color="00A5D4" w:themeColor="accent1"/>
          <w:bottom w:val="single" w:sz="8" w:space="0" w:color="00A5D4" w:themeColor="accent1"/>
          <w:right w:val="single" w:sz="8" w:space="0" w:color="00A5D4" w:themeColor="accent1"/>
        </w:tcBorders>
      </w:tcPr>
    </w:tblStylePr>
    <w:tblStylePr w:type="firstCol">
      <w:rPr>
        <w:b/>
        <w:bCs/>
      </w:rPr>
    </w:tblStylePr>
    <w:tblStylePr w:type="lastCol">
      <w:rPr>
        <w:b/>
        <w:bCs/>
      </w:rPr>
    </w:tblStylePr>
    <w:tblStylePr w:type="band1Vert">
      <w:tblPr/>
      <w:tcPr>
        <w:tcBorders>
          <w:top w:val="single" w:sz="8" w:space="0" w:color="00A5D4" w:themeColor="accent1"/>
          <w:left w:val="single" w:sz="8" w:space="0" w:color="00A5D4" w:themeColor="accent1"/>
          <w:bottom w:val="single" w:sz="8" w:space="0" w:color="00A5D4" w:themeColor="accent1"/>
          <w:right w:val="single" w:sz="8" w:space="0" w:color="00A5D4" w:themeColor="accent1"/>
        </w:tcBorders>
      </w:tcPr>
    </w:tblStylePr>
    <w:tblStylePr w:type="band1Horz">
      <w:tblPr/>
      <w:tcPr>
        <w:tcBorders>
          <w:top w:val="single" w:sz="8" w:space="0" w:color="00A5D4" w:themeColor="accent1"/>
          <w:left w:val="single" w:sz="8" w:space="0" w:color="00A5D4" w:themeColor="accent1"/>
          <w:bottom w:val="single" w:sz="8" w:space="0" w:color="00A5D4" w:themeColor="accent1"/>
          <w:right w:val="single" w:sz="8" w:space="0" w:color="00A5D4" w:themeColor="accent1"/>
        </w:tcBorders>
      </w:tcPr>
    </w:tblStylePr>
  </w:style>
  <w:style w:type="table" w:styleId="LightList-Accent2">
    <w:name w:val="Light List Accent 2"/>
    <w:basedOn w:val="TableNormal"/>
    <w:uiPriority w:val="98"/>
    <w:rsid w:val="00C63303"/>
    <w:tblPr>
      <w:tblStyleRowBandSize w:val="1"/>
      <w:tblStyleColBandSize w:val="1"/>
      <w:tblInd w:w="0" w:type="dxa"/>
      <w:tblBorders>
        <w:top w:val="single" w:sz="8" w:space="0" w:color="F3C42C" w:themeColor="accent2"/>
        <w:left w:val="single" w:sz="8" w:space="0" w:color="F3C42C" w:themeColor="accent2"/>
        <w:bottom w:val="single" w:sz="8" w:space="0" w:color="F3C42C" w:themeColor="accent2"/>
        <w:right w:val="single" w:sz="8" w:space="0" w:color="F3C42C"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3C42C" w:themeFill="accent2"/>
      </w:tcPr>
    </w:tblStylePr>
    <w:tblStylePr w:type="lastRow">
      <w:pPr>
        <w:spacing w:before="0" w:after="0" w:line="240" w:lineRule="auto"/>
      </w:pPr>
      <w:rPr>
        <w:b/>
        <w:bCs/>
      </w:rPr>
      <w:tblPr/>
      <w:tcPr>
        <w:tcBorders>
          <w:top w:val="double" w:sz="6" w:space="0" w:color="F3C42C" w:themeColor="accent2"/>
          <w:left w:val="single" w:sz="8" w:space="0" w:color="F3C42C" w:themeColor="accent2"/>
          <w:bottom w:val="single" w:sz="8" w:space="0" w:color="F3C42C" w:themeColor="accent2"/>
          <w:right w:val="single" w:sz="8" w:space="0" w:color="F3C42C" w:themeColor="accent2"/>
        </w:tcBorders>
      </w:tcPr>
    </w:tblStylePr>
    <w:tblStylePr w:type="firstCol">
      <w:rPr>
        <w:b/>
        <w:bCs/>
      </w:rPr>
    </w:tblStylePr>
    <w:tblStylePr w:type="lastCol">
      <w:rPr>
        <w:b/>
        <w:bCs/>
      </w:rPr>
    </w:tblStylePr>
    <w:tblStylePr w:type="band1Vert">
      <w:tblPr/>
      <w:tcPr>
        <w:tcBorders>
          <w:top w:val="single" w:sz="8" w:space="0" w:color="F3C42C" w:themeColor="accent2"/>
          <w:left w:val="single" w:sz="8" w:space="0" w:color="F3C42C" w:themeColor="accent2"/>
          <w:bottom w:val="single" w:sz="8" w:space="0" w:color="F3C42C" w:themeColor="accent2"/>
          <w:right w:val="single" w:sz="8" w:space="0" w:color="F3C42C" w:themeColor="accent2"/>
        </w:tcBorders>
      </w:tcPr>
    </w:tblStylePr>
    <w:tblStylePr w:type="band1Horz">
      <w:tblPr/>
      <w:tcPr>
        <w:tcBorders>
          <w:top w:val="single" w:sz="8" w:space="0" w:color="F3C42C" w:themeColor="accent2"/>
          <w:left w:val="single" w:sz="8" w:space="0" w:color="F3C42C" w:themeColor="accent2"/>
          <w:bottom w:val="single" w:sz="8" w:space="0" w:color="F3C42C" w:themeColor="accent2"/>
          <w:right w:val="single" w:sz="8" w:space="0" w:color="F3C42C" w:themeColor="accent2"/>
        </w:tcBorders>
      </w:tcPr>
    </w:tblStylePr>
  </w:style>
  <w:style w:type="table" w:styleId="LightList-Accent3">
    <w:name w:val="Light List Accent 3"/>
    <w:basedOn w:val="TableNormal"/>
    <w:uiPriority w:val="98"/>
    <w:rsid w:val="00C63303"/>
    <w:tblPr>
      <w:tblStyleRowBandSize w:val="1"/>
      <w:tblStyleColBandSize w:val="1"/>
      <w:tblInd w:w="0" w:type="dxa"/>
      <w:tblBorders>
        <w:top w:val="single" w:sz="8" w:space="0" w:color="16AB9B" w:themeColor="accent3"/>
        <w:left w:val="single" w:sz="8" w:space="0" w:color="16AB9B" w:themeColor="accent3"/>
        <w:bottom w:val="single" w:sz="8" w:space="0" w:color="16AB9B" w:themeColor="accent3"/>
        <w:right w:val="single" w:sz="8" w:space="0" w:color="16AB9B"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16AB9B" w:themeFill="accent3"/>
      </w:tcPr>
    </w:tblStylePr>
    <w:tblStylePr w:type="lastRow">
      <w:pPr>
        <w:spacing w:before="0" w:after="0" w:line="240" w:lineRule="auto"/>
      </w:pPr>
      <w:rPr>
        <w:b/>
        <w:bCs/>
      </w:rPr>
      <w:tblPr/>
      <w:tcPr>
        <w:tcBorders>
          <w:top w:val="double" w:sz="6" w:space="0" w:color="16AB9B" w:themeColor="accent3"/>
          <w:left w:val="single" w:sz="8" w:space="0" w:color="16AB9B" w:themeColor="accent3"/>
          <w:bottom w:val="single" w:sz="8" w:space="0" w:color="16AB9B" w:themeColor="accent3"/>
          <w:right w:val="single" w:sz="8" w:space="0" w:color="16AB9B" w:themeColor="accent3"/>
        </w:tcBorders>
      </w:tcPr>
    </w:tblStylePr>
    <w:tblStylePr w:type="firstCol">
      <w:rPr>
        <w:b/>
        <w:bCs/>
      </w:rPr>
    </w:tblStylePr>
    <w:tblStylePr w:type="lastCol">
      <w:rPr>
        <w:b/>
        <w:bCs/>
      </w:rPr>
    </w:tblStylePr>
    <w:tblStylePr w:type="band1Vert">
      <w:tblPr/>
      <w:tcPr>
        <w:tcBorders>
          <w:top w:val="single" w:sz="8" w:space="0" w:color="16AB9B" w:themeColor="accent3"/>
          <w:left w:val="single" w:sz="8" w:space="0" w:color="16AB9B" w:themeColor="accent3"/>
          <w:bottom w:val="single" w:sz="8" w:space="0" w:color="16AB9B" w:themeColor="accent3"/>
          <w:right w:val="single" w:sz="8" w:space="0" w:color="16AB9B" w:themeColor="accent3"/>
        </w:tcBorders>
      </w:tcPr>
    </w:tblStylePr>
    <w:tblStylePr w:type="band1Horz">
      <w:tblPr/>
      <w:tcPr>
        <w:tcBorders>
          <w:top w:val="single" w:sz="8" w:space="0" w:color="16AB9B" w:themeColor="accent3"/>
          <w:left w:val="single" w:sz="8" w:space="0" w:color="16AB9B" w:themeColor="accent3"/>
          <w:bottom w:val="single" w:sz="8" w:space="0" w:color="16AB9B" w:themeColor="accent3"/>
          <w:right w:val="single" w:sz="8" w:space="0" w:color="16AB9B" w:themeColor="accent3"/>
        </w:tcBorders>
      </w:tcPr>
    </w:tblStylePr>
  </w:style>
  <w:style w:type="table" w:styleId="LightList-Accent4">
    <w:name w:val="Light List Accent 4"/>
    <w:basedOn w:val="TableNormal"/>
    <w:uiPriority w:val="98"/>
    <w:rsid w:val="00C63303"/>
    <w:tblPr>
      <w:tblStyleRowBandSize w:val="1"/>
      <w:tblStyleColBandSize w:val="1"/>
      <w:tblInd w:w="0" w:type="dxa"/>
      <w:tblBorders>
        <w:top w:val="single" w:sz="8" w:space="0" w:color="675890" w:themeColor="accent4"/>
        <w:left w:val="single" w:sz="8" w:space="0" w:color="675890" w:themeColor="accent4"/>
        <w:bottom w:val="single" w:sz="8" w:space="0" w:color="675890" w:themeColor="accent4"/>
        <w:right w:val="single" w:sz="8" w:space="0" w:color="67589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75890" w:themeFill="accent4"/>
      </w:tcPr>
    </w:tblStylePr>
    <w:tblStylePr w:type="lastRow">
      <w:pPr>
        <w:spacing w:before="0" w:after="0" w:line="240" w:lineRule="auto"/>
      </w:pPr>
      <w:rPr>
        <w:b/>
        <w:bCs/>
      </w:rPr>
      <w:tblPr/>
      <w:tcPr>
        <w:tcBorders>
          <w:top w:val="double" w:sz="6" w:space="0" w:color="675890" w:themeColor="accent4"/>
          <w:left w:val="single" w:sz="8" w:space="0" w:color="675890" w:themeColor="accent4"/>
          <w:bottom w:val="single" w:sz="8" w:space="0" w:color="675890" w:themeColor="accent4"/>
          <w:right w:val="single" w:sz="8" w:space="0" w:color="675890" w:themeColor="accent4"/>
        </w:tcBorders>
      </w:tcPr>
    </w:tblStylePr>
    <w:tblStylePr w:type="firstCol">
      <w:rPr>
        <w:b/>
        <w:bCs/>
      </w:rPr>
    </w:tblStylePr>
    <w:tblStylePr w:type="lastCol">
      <w:rPr>
        <w:b/>
        <w:bCs/>
      </w:rPr>
    </w:tblStylePr>
    <w:tblStylePr w:type="band1Vert">
      <w:tblPr/>
      <w:tcPr>
        <w:tcBorders>
          <w:top w:val="single" w:sz="8" w:space="0" w:color="675890" w:themeColor="accent4"/>
          <w:left w:val="single" w:sz="8" w:space="0" w:color="675890" w:themeColor="accent4"/>
          <w:bottom w:val="single" w:sz="8" w:space="0" w:color="675890" w:themeColor="accent4"/>
          <w:right w:val="single" w:sz="8" w:space="0" w:color="675890" w:themeColor="accent4"/>
        </w:tcBorders>
      </w:tcPr>
    </w:tblStylePr>
    <w:tblStylePr w:type="band1Horz">
      <w:tblPr/>
      <w:tcPr>
        <w:tcBorders>
          <w:top w:val="single" w:sz="8" w:space="0" w:color="675890" w:themeColor="accent4"/>
          <w:left w:val="single" w:sz="8" w:space="0" w:color="675890" w:themeColor="accent4"/>
          <w:bottom w:val="single" w:sz="8" w:space="0" w:color="675890" w:themeColor="accent4"/>
          <w:right w:val="single" w:sz="8" w:space="0" w:color="675890" w:themeColor="accent4"/>
        </w:tcBorders>
      </w:tcPr>
    </w:tblStylePr>
  </w:style>
  <w:style w:type="table" w:styleId="LightList-Accent5">
    <w:name w:val="Light List Accent 5"/>
    <w:basedOn w:val="TableNormal"/>
    <w:uiPriority w:val="98"/>
    <w:rsid w:val="00C63303"/>
    <w:tblPr>
      <w:tblStyleRowBandSize w:val="1"/>
      <w:tblStyleColBandSize w:val="1"/>
      <w:tblInd w:w="0" w:type="dxa"/>
      <w:tblBorders>
        <w:top w:val="single" w:sz="8" w:space="0" w:color="9C7761" w:themeColor="accent5"/>
        <w:left w:val="single" w:sz="8" w:space="0" w:color="9C7761" w:themeColor="accent5"/>
        <w:bottom w:val="single" w:sz="8" w:space="0" w:color="9C7761" w:themeColor="accent5"/>
        <w:right w:val="single" w:sz="8" w:space="0" w:color="9C7761"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C7761" w:themeFill="accent5"/>
      </w:tcPr>
    </w:tblStylePr>
    <w:tblStylePr w:type="lastRow">
      <w:pPr>
        <w:spacing w:before="0" w:after="0" w:line="240" w:lineRule="auto"/>
      </w:pPr>
      <w:rPr>
        <w:b/>
        <w:bCs/>
      </w:rPr>
      <w:tblPr/>
      <w:tcPr>
        <w:tcBorders>
          <w:top w:val="double" w:sz="6" w:space="0" w:color="9C7761" w:themeColor="accent5"/>
          <w:left w:val="single" w:sz="8" w:space="0" w:color="9C7761" w:themeColor="accent5"/>
          <w:bottom w:val="single" w:sz="8" w:space="0" w:color="9C7761" w:themeColor="accent5"/>
          <w:right w:val="single" w:sz="8" w:space="0" w:color="9C7761" w:themeColor="accent5"/>
        </w:tcBorders>
      </w:tcPr>
    </w:tblStylePr>
    <w:tblStylePr w:type="firstCol">
      <w:rPr>
        <w:b/>
        <w:bCs/>
      </w:rPr>
    </w:tblStylePr>
    <w:tblStylePr w:type="lastCol">
      <w:rPr>
        <w:b/>
        <w:bCs/>
      </w:rPr>
    </w:tblStylePr>
    <w:tblStylePr w:type="band1Vert">
      <w:tblPr/>
      <w:tcPr>
        <w:tcBorders>
          <w:top w:val="single" w:sz="8" w:space="0" w:color="9C7761" w:themeColor="accent5"/>
          <w:left w:val="single" w:sz="8" w:space="0" w:color="9C7761" w:themeColor="accent5"/>
          <w:bottom w:val="single" w:sz="8" w:space="0" w:color="9C7761" w:themeColor="accent5"/>
          <w:right w:val="single" w:sz="8" w:space="0" w:color="9C7761" w:themeColor="accent5"/>
        </w:tcBorders>
      </w:tcPr>
    </w:tblStylePr>
    <w:tblStylePr w:type="band1Horz">
      <w:tblPr/>
      <w:tcPr>
        <w:tcBorders>
          <w:top w:val="single" w:sz="8" w:space="0" w:color="9C7761" w:themeColor="accent5"/>
          <w:left w:val="single" w:sz="8" w:space="0" w:color="9C7761" w:themeColor="accent5"/>
          <w:bottom w:val="single" w:sz="8" w:space="0" w:color="9C7761" w:themeColor="accent5"/>
          <w:right w:val="single" w:sz="8" w:space="0" w:color="9C7761" w:themeColor="accent5"/>
        </w:tcBorders>
      </w:tcPr>
    </w:tblStylePr>
  </w:style>
  <w:style w:type="table" w:styleId="LightList-Accent6">
    <w:name w:val="Light List Accent 6"/>
    <w:basedOn w:val="TableNormal"/>
    <w:uiPriority w:val="98"/>
    <w:rsid w:val="00C63303"/>
    <w:tblPr>
      <w:tblStyleRowBandSize w:val="1"/>
      <w:tblStyleColBandSize w:val="1"/>
      <w:tblInd w:w="0" w:type="dxa"/>
      <w:tblBorders>
        <w:top w:val="single" w:sz="8" w:space="0" w:color="AD123C" w:themeColor="accent6"/>
        <w:left w:val="single" w:sz="8" w:space="0" w:color="AD123C" w:themeColor="accent6"/>
        <w:bottom w:val="single" w:sz="8" w:space="0" w:color="AD123C" w:themeColor="accent6"/>
        <w:right w:val="single" w:sz="8" w:space="0" w:color="AD123C"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D123C" w:themeFill="accent6"/>
      </w:tcPr>
    </w:tblStylePr>
    <w:tblStylePr w:type="lastRow">
      <w:pPr>
        <w:spacing w:before="0" w:after="0" w:line="240" w:lineRule="auto"/>
      </w:pPr>
      <w:rPr>
        <w:b/>
        <w:bCs/>
      </w:rPr>
      <w:tblPr/>
      <w:tcPr>
        <w:tcBorders>
          <w:top w:val="double" w:sz="6" w:space="0" w:color="AD123C" w:themeColor="accent6"/>
          <w:left w:val="single" w:sz="8" w:space="0" w:color="AD123C" w:themeColor="accent6"/>
          <w:bottom w:val="single" w:sz="8" w:space="0" w:color="AD123C" w:themeColor="accent6"/>
          <w:right w:val="single" w:sz="8" w:space="0" w:color="AD123C" w:themeColor="accent6"/>
        </w:tcBorders>
      </w:tcPr>
    </w:tblStylePr>
    <w:tblStylePr w:type="firstCol">
      <w:rPr>
        <w:b/>
        <w:bCs/>
      </w:rPr>
    </w:tblStylePr>
    <w:tblStylePr w:type="lastCol">
      <w:rPr>
        <w:b/>
        <w:bCs/>
      </w:rPr>
    </w:tblStylePr>
    <w:tblStylePr w:type="band1Vert">
      <w:tblPr/>
      <w:tcPr>
        <w:tcBorders>
          <w:top w:val="single" w:sz="8" w:space="0" w:color="AD123C" w:themeColor="accent6"/>
          <w:left w:val="single" w:sz="8" w:space="0" w:color="AD123C" w:themeColor="accent6"/>
          <w:bottom w:val="single" w:sz="8" w:space="0" w:color="AD123C" w:themeColor="accent6"/>
          <w:right w:val="single" w:sz="8" w:space="0" w:color="AD123C" w:themeColor="accent6"/>
        </w:tcBorders>
      </w:tcPr>
    </w:tblStylePr>
    <w:tblStylePr w:type="band1Horz">
      <w:tblPr/>
      <w:tcPr>
        <w:tcBorders>
          <w:top w:val="single" w:sz="8" w:space="0" w:color="AD123C" w:themeColor="accent6"/>
          <w:left w:val="single" w:sz="8" w:space="0" w:color="AD123C" w:themeColor="accent6"/>
          <w:bottom w:val="single" w:sz="8" w:space="0" w:color="AD123C" w:themeColor="accent6"/>
          <w:right w:val="single" w:sz="8" w:space="0" w:color="AD123C"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7B9E" w:themeColor="accent1" w:themeShade="BF"/>
    </w:rPr>
    <w:tblPr>
      <w:tblStyleRowBandSize w:val="1"/>
      <w:tblStyleColBandSize w:val="1"/>
      <w:tblInd w:w="0" w:type="dxa"/>
      <w:tblBorders>
        <w:top w:val="single" w:sz="8" w:space="0" w:color="00A5D4" w:themeColor="accent1"/>
        <w:bottom w:val="single" w:sz="8" w:space="0" w:color="00A5D4"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A5D4" w:themeColor="accent1"/>
          <w:left w:val="nil"/>
          <w:bottom w:val="single" w:sz="8" w:space="0" w:color="00A5D4" w:themeColor="accent1"/>
          <w:right w:val="nil"/>
          <w:insideH w:val="nil"/>
          <w:insideV w:val="nil"/>
        </w:tcBorders>
      </w:tcPr>
    </w:tblStylePr>
    <w:tblStylePr w:type="lastRow">
      <w:pPr>
        <w:spacing w:before="0" w:after="0" w:line="240" w:lineRule="auto"/>
      </w:pPr>
      <w:rPr>
        <w:b/>
        <w:bCs/>
      </w:rPr>
      <w:tblPr/>
      <w:tcPr>
        <w:tcBorders>
          <w:top w:val="single" w:sz="8" w:space="0" w:color="00A5D4" w:themeColor="accent1"/>
          <w:left w:val="nil"/>
          <w:bottom w:val="single" w:sz="8" w:space="0" w:color="00A5D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EEFF" w:themeFill="accent1" w:themeFillTint="3F"/>
      </w:tcPr>
    </w:tblStylePr>
    <w:tblStylePr w:type="band1Horz">
      <w:tblPr/>
      <w:tcPr>
        <w:tcBorders>
          <w:left w:val="nil"/>
          <w:right w:val="nil"/>
          <w:insideH w:val="nil"/>
          <w:insideV w:val="nil"/>
        </w:tcBorders>
        <w:shd w:val="clear" w:color="auto" w:fill="B5EEFF" w:themeFill="accent1" w:themeFillTint="3F"/>
      </w:tcPr>
    </w:tblStylePr>
  </w:style>
  <w:style w:type="table" w:styleId="LightShading-Accent2">
    <w:name w:val="Light Shading Accent 2"/>
    <w:basedOn w:val="TableNormal"/>
    <w:uiPriority w:val="98"/>
    <w:rsid w:val="00C63303"/>
    <w:rPr>
      <w:color w:val="CB9D0B" w:themeColor="accent2" w:themeShade="BF"/>
    </w:rPr>
    <w:tblPr>
      <w:tblStyleRowBandSize w:val="1"/>
      <w:tblStyleColBandSize w:val="1"/>
      <w:tblInd w:w="0" w:type="dxa"/>
      <w:tblBorders>
        <w:top w:val="single" w:sz="8" w:space="0" w:color="F3C42C" w:themeColor="accent2"/>
        <w:bottom w:val="single" w:sz="8" w:space="0" w:color="F3C42C"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3C42C" w:themeColor="accent2"/>
          <w:left w:val="nil"/>
          <w:bottom w:val="single" w:sz="8" w:space="0" w:color="F3C42C" w:themeColor="accent2"/>
          <w:right w:val="nil"/>
          <w:insideH w:val="nil"/>
          <w:insideV w:val="nil"/>
        </w:tcBorders>
      </w:tcPr>
    </w:tblStylePr>
    <w:tblStylePr w:type="lastRow">
      <w:pPr>
        <w:spacing w:before="0" w:after="0" w:line="240" w:lineRule="auto"/>
      </w:pPr>
      <w:rPr>
        <w:b/>
        <w:bCs/>
      </w:rPr>
      <w:tblPr/>
      <w:tcPr>
        <w:tcBorders>
          <w:top w:val="single" w:sz="8" w:space="0" w:color="F3C42C" w:themeColor="accent2"/>
          <w:left w:val="nil"/>
          <w:bottom w:val="single" w:sz="8" w:space="0" w:color="F3C42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0CA" w:themeFill="accent2" w:themeFillTint="3F"/>
      </w:tcPr>
    </w:tblStylePr>
    <w:tblStylePr w:type="band1Horz">
      <w:tblPr/>
      <w:tcPr>
        <w:tcBorders>
          <w:left w:val="nil"/>
          <w:right w:val="nil"/>
          <w:insideH w:val="nil"/>
          <w:insideV w:val="nil"/>
        </w:tcBorders>
        <w:shd w:val="clear" w:color="auto" w:fill="FCF0CA" w:themeFill="accent2" w:themeFillTint="3F"/>
      </w:tcPr>
    </w:tblStylePr>
  </w:style>
  <w:style w:type="table" w:styleId="LightShading-Accent3">
    <w:name w:val="Light Shading Accent 3"/>
    <w:basedOn w:val="TableNormal"/>
    <w:uiPriority w:val="98"/>
    <w:rsid w:val="00C63303"/>
    <w:rPr>
      <w:color w:val="107F73" w:themeColor="accent3" w:themeShade="BF"/>
    </w:rPr>
    <w:tblPr>
      <w:tblStyleRowBandSize w:val="1"/>
      <w:tblStyleColBandSize w:val="1"/>
      <w:tblInd w:w="0" w:type="dxa"/>
      <w:tblBorders>
        <w:top w:val="single" w:sz="8" w:space="0" w:color="16AB9B" w:themeColor="accent3"/>
        <w:bottom w:val="single" w:sz="8" w:space="0" w:color="16AB9B"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16AB9B" w:themeColor="accent3"/>
          <w:left w:val="nil"/>
          <w:bottom w:val="single" w:sz="8" w:space="0" w:color="16AB9B" w:themeColor="accent3"/>
          <w:right w:val="nil"/>
          <w:insideH w:val="nil"/>
          <w:insideV w:val="nil"/>
        </w:tcBorders>
      </w:tcPr>
    </w:tblStylePr>
    <w:tblStylePr w:type="lastRow">
      <w:pPr>
        <w:spacing w:before="0" w:after="0" w:line="240" w:lineRule="auto"/>
      </w:pPr>
      <w:rPr>
        <w:b/>
        <w:bCs/>
      </w:rPr>
      <w:tblPr/>
      <w:tcPr>
        <w:tcBorders>
          <w:top w:val="single" w:sz="8" w:space="0" w:color="16AB9B" w:themeColor="accent3"/>
          <w:left w:val="nil"/>
          <w:bottom w:val="single" w:sz="8" w:space="0" w:color="16AB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6EF" w:themeFill="accent3" w:themeFillTint="3F"/>
      </w:tcPr>
    </w:tblStylePr>
    <w:tblStylePr w:type="band1Horz">
      <w:tblPr/>
      <w:tcPr>
        <w:tcBorders>
          <w:left w:val="nil"/>
          <w:right w:val="nil"/>
          <w:insideH w:val="nil"/>
          <w:insideV w:val="nil"/>
        </w:tcBorders>
        <w:shd w:val="clear" w:color="auto" w:fill="B9F6EF" w:themeFill="accent3" w:themeFillTint="3F"/>
      </w:tcPr>
    </w:tblStylePr>
  </w:style>
  <w:style w:type="table" w:styleId="LightShading-Accent4">
    <w:name w:val="Light Shading Accent 4"/>
    <w:basedOn w:val="TableNormal"/>
    <w:uiPriority w:val="98"/>
    <w:rsid w:val="00C63303"/>
    <w:rPr>
      <w:color w:val="4D426B" w:themeColor="accent4" w:themeShade="BF"/>
    </w:rPr>
    <w:tblPr>
      <w:tblStyleRowBandSize w:val="1"/>
      <w:tblStyleColBandSize w:val="1"/>
      <w:tblInd w:w="0" w:type="dxa"/>
      <w:tblBorders>
        <w:top w:val="single" w:sz="8" w:space="0" w:color="675890" w:themeColor="accent4"/>
        <w:bottom w:val="single" w:sz="8" w:space="0" w:color="67589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75890" w:themeColor="accent4"/>
          <w:left w:val="nil"/>
          <w:bottom w:val="single" w:sz="8" w:space="0" w:color="675890" w:themeColor="accent4"/>
          <w:right w:val="nil"/>
          <w:insideH w:val="nil"/>
          <w:insideV w:val="nil"/>
        </w:tcBorders>
      </w:tcPr>
    </w:tblStylePr>
    <w:tblStylePr w:type="lastRow">
      <w:pPr>
        <w:spacing w:before="0" w:after="0" w:line="240" w:lineRule="auto"/>
      </w:pPr>
      <w:rPr>
        <w:b/>
        <w:bCs/>
      </w:rPr>
      <w:tblPr/>
      <w:tcPr>
        <w:tcBorders>
          <w:top w:val="single" w:sz="8" w:space="0" w:color="675890" w:themeColor="accent4"/>
          <w:left w:val="nil"/>
          <w:bottom w:val="single" w:sz="8" w:space="0" w:color="6758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4E4" w:themeFill="accent4" w:themeFillTint="3F"/>
      </w:tcPr>
    </w:tblStylePr>
    <w:tblStylePr w:type="band1Horz">
      <w:tblPr/>
      <w:tcPr>
        <w:tcBorders>
          <w:left w:val="nil"/>
          <w:right w:val="nil"/>
          <w:insideH w:val="nil"/>
          <w:insideV w:val="nil"/>
        </w:tcBorders>
        <w:shd w:val="clear" w:color="auto" w:fill="D8D4E4" w:themeFill="accent4" w:themeFillTint="3F"/>
      </w:tcPr>
    </w:tblStylePr>
  </w:style>
  <w:style w:type="table" w:styleId="LightShading-Accent5">
    <w:name w:val="Light Shading Accent 5"/>
    <w:basedOn w:val="TableNormal"/>
    <w:uiPriority w:val="98"/>
    <w:rsid w:val="00C63303"/>
    <w:rPr>
      <w:color w:val="745948" w:themeColor="accent5" w:themeShade="BF"/>
    </w:rPr>
    <w:tblPr>
      <w:tblStyleRowBandSize w:val="1"/>
      <w:tblStyleColBandSize w:val="1"/>
      <w:tblInd w:w="0" w:type="dxa"/>
      <w:tblBorders>
        <w:top w:val="single" w:sz="8" w:space="0" w:color="9C7761" w:themeColor="accent5"/>
        <w:bottom w:val="single" w:sz="8" w:space="0" w:color="9C7761"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C7761" w:themeColor="accent5"/>
          <w:left w:val="nil"/>
          <w:bottom w:val="single" w:sz="8" w:space="0" w:color="9C7761" w:themeColor="accent5"/>
          <w:right w:val="nil"/>
          <w:insideH w:val="nil"/>
          <w:insideV w:val="nil"/>
        </w:tcBorders>
      </w:tcPr>
    </w:tblStylePr>
    <w:tblStylePr w:type="lastRow">
      <w:pPr>
        <w:spacing w:before="0" w:after="0" w:line="240" w:lineRule="auto"/>
      </w:pPr>
      <w:rPr>
        <w:b/>
        <w:bCs/>
      </w:rPr>
      <w:tblPr/>
      <w:tcPr>
        <w:tcBorders>
          <w:top w:val="single" w:sz="8" w:space="0" w:color="9C7761" w:themeColor="accent5"/>
          <w:left w:val="nil"/>
          <w:bottom w:val="single" w:sz="8" w:space="0" w:color="9C776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DD7" w:themeFill="accent5" w:themeFillTint="3F"/>
      </w:tcPr>
    </w:tblStylePr>
    <w:tblStylePr w:type="band1Horz">
      <w:tblPr/>
      <w:tcPr>
        <w:tcBorders>
          <w:left w:val="nil"/>
          <w:right w:val="nil"/>
          <w:insideH w:val="nil"/>
          <w:insideV w:val="nil"/>
        </w:tcBorders>
        <w:shd w:val="clear" w:color="auto" w:fill="E6DDD7" w:themeFill="accent5" w:themeFillTint="3F"/>
      </w:tcPr>
    </w:tblStylePr>
  </w:style>
  <w:style w:type="table" w:styleId="LightShading-Accent6">
    <w:name w:val="Light Shading Accent 6"/>
    <w:basedOn w:val="TableNormal"/>
    <w:uiPriority w:val="98"/>
    <w:rsid w:val="00C63303"/>
    <w:rPr>
      <w:color w:val="810D2C" w:themeColor="accent6" w:themeShade="BF"/>
    </w:rPr>
    <w:tblPr>
      <w:tblStyleRowBandSize w:val="1"/>
      <w:tblStyleColBandSize w:val="1"/>
      <w:tblInd w:w="0" w:type="dxa"/>
      <w:tblBorders>
        <w:top w:val="single" w:sz="8" w:space="0" w:color="AD123C" w:themeColor="accent6"/>
        <w:bottom w:val="single" w:sz="8" w:space="0" w:color="AD123C"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D123C" w:themeColor="accent6"/>
          <w:left w:val="nil"/>
          <w:bottom w:val="single" w:sz="8" w:space="0" w:color="AD123C" w:themeColor="accent6"/>
          <w:right w:val="nil"/>
          <w:insideH w:val="nil"/>
          <w:insideV w:val="nil"/>
        </w:tcBorders>
      </w:tcPr>
    </w:tblStylePr>
    <w:tblStylePr w:type="lastRow">
      <w:pPr>
        <w:spacing w:before="0" w:after="0" w:line="240" w:lineRule="auto"/>
      </w:pPr>
      <w:rPr>
        <w:b/>
        <w:bCs/>
      </w:rPr>
      <w:tblPr/>
      <w:tcPr>
        <w:tcBorders>
          <w:top w:val="single" w:sz="8" w:space="0" w:color="AD123C" w:themeColor="accent6"/>
          <w:left w:val="nil"/>
          <w:bottom w:val="single" w:sz="8" w:space="0" w:color="AD12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B7C8" w:themeFill="accent6" w:themeFillTint="3F"/>
      </w:tcPr>
    </w:tblStylePr>
    <w:tblStylePr w:type="band1Horz">
      <w:tblPr/>
      <w:tcPr>
        <w:tcBorders>
          <w:left w:val="nil"/>
          <w:right w:val="nil"/>
          <w:insideH w:val="nil"/>
          <w:insideV w:val="nil"/>
        </w:tcBorders>
        <w:shd w:val="clear" w:color="auto" w:fill="F7B7C8" w:themeFill="accent6" w:themeFillTint="3F"/>
      </w:tcPr>
    </w:tblStylePr>
  </w:style>
  <w:style w:type="character" w:styleId="LineNumber">
    <w:name w:val="line number"/>
    <w:basedOn w:val="DefaultParagraphFont"/>
    <w:uiPriority w:val="97"/>
    <w:semiHidden/>
    <w:rsid w:val="00C63303"/>
    <w:rPr>
      <w:rFonts w:asciiTheme="minorHAnsi" w:hAnsiTheme="minorHAnsi" w:cstheme="minorHAnsi"/>
    </w:rPr>
  </w:style>
  <w:style w:type="paragraph" w:styleId="List">
    <w:name w:val="List"/>
    <w:basedOn w:val="Normal"/>
    <w:uiPriority w:val="4"/>
    <w:semiHidden/>
    <w:rsid w:val="00C63303"/>
    <w:pPr>
      <w:ind w:left="283" w:hanging="283"/>
      <w:contextualSpacing/>
    </w:pPr>
  </w:style>
  <w:style w:type="paragraph" w:styleId="List2">
    <w:name w:val="List 2"/>
    <w:basedOn w:val="Normal"/>
    <w:uiPriority w:val="4"/>
    <w:semiHidden/>
    <w:rsid w:val="00C63303"/>
    <w:pPr>
      <w:ind w:left="566" w:hanging="283"/>
      <w:contextualSpacing/>
    </w:pPr>
  </w:style>
  <w:style w:type="paragraph" w:styleId="List3">
    <w:name w:val="List 3"/>
    <w:basedOn w:val="Normal"/>
    <w:uiPriority w:val="4"/>
    <w:semiHidden/>
    <w:rsid w:val="00C63303"/>
    <w:pPr>
      <w:ind w:left="849" w:hanging="283"/>
      <w:contextualSpacing/>
    </w:pPr>
  </w:style>
  <w:style w:type="paragraph" w:styleId="List4">
    <w:name w:val="List 4"/>
    <w:basedOn w:val="Normal"/>
    <w:uiPriority w:val="4"/>
    <w:semiHidden/>
    <w:rsid w:val="00C63303"/>
    <w:pPr>
      <w:ind w:left="1132" w:hanging="283"/>
      <w:contextualSpacing/>
    </w:pPr>
  </w:style>
  <w:style w:type="numbering" w:customStyle="1" w:styleId="ListNumbers">
    <w:name w:val="ListNumbers"/>
    <w:uiPriority w:val="99"/>
    <w:rsid w:val="004E2E09"/>
    <w:pPr>
      <w:numPr>
        <w:numId w:val="9"/>
      </w:numPr>
    </w:pPr>
  </w:style>
  <w:style w:type="paragraph" w:styleId="ListBullet2">
    <w:name w:val="List Bullet 2"/>
    <w:basedOn w:val="Normal"/>
    <w:uiPriority w:val="2"/>
    <w:rsid w:val="004E2E09"/>
    <w:pPr>
      <w:numPr>
        <w:ilvl w:val="1"/>
        <w:numId w:val="16"/>
      </w:numPr>
    </w:pPr>
  </w:style>
  <w:style w:type="paragraph" w:styleId="ListBullet3">
    <w:name w:val="List Bullet 3"/>
    <w:basedOn w:val="Normal"/>
    <w:uiPriority w:val="2"/>
    <w:rsid w:val="004E2E09"/>
    <w:pPr>
      <w:numPr>
        <w:ilvl w:val="2"/>
        <w:numId w:val="16"/>
      </w:numPr>
      <w:ind w:left="851"/>
    </w:pPr>
  </w:style>
  <w:style w:type="paragraph" w:styleId="ListBullet4">
    <w:name w:val="List Bullet 4"/>
    <w:basedOn w:val="Normal"/>
    <w:uiPriority w:val="2"/>
    <w:semiHidden/>
    <w:rsid w:val="00C63303"/>
    <w:pPr>
      <w:numPr>
        <w:numId w:val="1"/>
      </w:numPr>
      <w:contextualSpacing/>
    </w:pPr>
  </w:style>
  <w:style w:type="paragraph" w:styleId="ListBullet5">
    <w:name w:val="List Bullet 5"/>
    <w:basedOn w:val="Normal"/>
    <w:uiPriority w:val="2"/>
    <w:semiHidden/>
    <w:rsid w:val="00C63303"/>
    <w:pPr>
      <w:numPr>
        <w:numId w:val="2"/>
      </w:numPr>
      <w:contextualSpacing/>
    </w:pPr>
  </w:style>
  <w:style w:type="paragraph" w:styleId="ListContinue">
    <w:name w:val="List Continue"/>
    <w:basedOn w:val="Normal"/>
    <w:uiPriority w:val="18"/>
    <w:semiHidden/>
    <w:rsid w:val="00C63303"/>
    <w:pPr>
      <w:ind w:left="283"/>
      <w:contextualSpacing/>
    </w:pPr>
  </w:style>
  <w:style w:type="paragraph" w:styleId="ListContinue2">
    <w:name w:val="List Continue 2"/>
    <w:basedOn w:val="Normal"/>
    <w:uiPriority w:val="18"/>
    <w:semiHidden/>
    <w:rsid w:val="00C63303"/>
    <w:pPr>
      <w:ind w:left="566"/>
      <w:contextualSpacing/>
    </w:pPr>
  </w:style>
  <w:style w:type="paragraph" w:styleId="ListContinue3">
    <w:name w:val="List Continue 3"/>
    <w:basedOn w:val="Normal"/>
    <w:uiPriority w:val="18"/>
    <w:semiHidden/>
    <w:rsid w:val="00C63303"/>
    <w:pPr>
      <w:ind w:left="849"/>
      <w:contextualSpacing/>
    </w:pPr>
  </w:style>
  <w:style w:type="paragraph" w:styleId="ListContinue4">
    <w:name w:val="List Continue 4"/>
    <w:basedOn w:val="Normal"/>
    <w:uiPriority w:val="18"/>
    <w:semiHidden/>
    <w:rsid w:val="00C63303"/>
    <w:pPr>
      <w:ind w:left="1132"/>
      <w:contextualSpacing/>
    </w:pPr>
  </w:style>
  <w:style w:type="paragraph" w:styleId="ListContinue5">
    <w:name w:val="List Continue 5"/>
    <w:basedOn w:val="Normal"/>
    <w:uiPriority w:val="18"/>
    <w:semiHidden/>
    <w:rsid w:val="00C63303"/>
    <w:pPr>
      <w:ind w:left="1415"/>
      <w:contextualSpacing/>
    </w:pPr>
  </w:style>
  <w:style w:type="paragraph" w:styleId="ListNumber2">
    <w:name w:val="List Number 2"/>
    <w:basedOn w:val="Normal"/>
    <w:uiPriority w:val="3"/>
    <w:rsid w:val="004E2E09"/>
    <w:pPr>
      <w:numPr>
        <w:ilvl w:val="1"/>
        <w:numId w:val="19"/>
      </w:numPr>
    </w:pPr>
  </w:style>
  <w:style w:type="paragraph" w:styleId="ListNumber3">
    <w:name w:val="List Number 3"/>
    <w:basedOn w:val="Normal"/>
    <w:uiPriority w:val="3"/>
    <w:rsid w:val="004E2E09"/>
    <w:pPr>
      <w:numPr>
        <w:ilvl w:val="2"/>
        <w:numId w:val="19"/>
      </w:numPr>
    </w:pPr>
  </w:style>
  <w:style w:type="paragraph" w:styleId="ListNumber4">
    <w:name w:val="List Number 4"/>
    <w:basedOn w:val="Normal"/>
    <w:uiPriority w:val="3"/>
    <w:semiHidden/>
    <w:rsid w:val="00C63303"/>
    <w:pPr>
      <w:numPr>
        <w:numId w:val="3"/>
      </w:numPr>
      <w:contextualSpacing/>
    </w:pPr>
  </w:style>
  <w:style w:type="paragraph" w:styleId="ListNumber5">
    <w:name w:val="List Number 5"/>
    <w:basedOn w:val="Normal"/>
    <w:uiPriority w:val="3"/>
    <w:semiHidden/>
    <w:rsid w:val="00C63303"/>
    <w:pPr>
      <w:numPr>
        <w:numId w:val="4"/>
      </w:numPr>
      <w:contextualSpacing/>
    </w:pPr>
  </w:style>
  <w:style w:type="paragraph" w:styleId="ListParagraph">
    <w:name w:val="List Paragraph"/>
    <w:basedOn w:val="Normal"/>
    <w:uiPriority w:val="4"/>
    <w:semiHidden/>
    <w:rsid w:val="00C63303"/>
    <w:pPr>
      <w:ind w:left="720"/>
      <w:contextualSpacing/>
    </w:pPr>
  </w:style>
  <w:style w:type="paragraph" w:styleId="MacroText">
    <w:name w:val="macro"/>
    <w:link w:val="MacroTextChar"/>
    <w:uiPriority w:val="97"/>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rsid w:val="00C63303"/>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Ind w:w="0" w:type="dxa"/>
      <w:tblBorders>
        <w:top w:val="single" w:sz="8" w:space="0" w:color="1FCDFF" w:themeColor="accent1" w:themeTint="BF"/>
        <w:left w:val="single" w:sz="8" w:space="0" w:color="1FCDFF" w:themeColor="accent1" w:themeTint="BF"/>
        <w:bottom w:val="single" w:sz="8" w:space="0" w:color="1FCDFF" w:themeColor="accent1" w:themeTint="BF"/>
        <w:right w:val="single" w:sz="8" w:space="0" w:color="1FCDFF" w:themeColor="accent1" w:themeTint="BF"/>
        <w:insideH w:val="single" w:sz="8" w:space="0" w:color="1FCDFF" w:themeColor="accent1" w:themeTint="BF"/>
        <w:insideV w:val="single" w:sz="8" w:space="0" w:color="1FCDFF" w:themeColor="accent1" w:themeTint="BF"/>
      </w:tblBorders>
      <w:tblCellMar>
        <w:top w:w="0" w:type="dxa"/>
        <w:left w:w="108" w:type="dxa"/>
        <w:bottom w:w="0" w:type="dxa"/>
        <w:right w:w="108" w:type="dxa"/>
      </w:tblCellMar>
    </w:tblPr>
    <w:tcPr>
      <w:shd w:val="clear" w:color="auto" w:fill="B5EEF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1FCDFF" w:themeColor="accent1" w:themeTint="BF"/>
        </w:tcBorders>
      </w:tcPr>
    </w:tblStylePr>
    <w:tblStylePr w:type="firstCol">
      <w:rPr>
        <w:b/>
        <w:bCs/>
      </w:rPr>
    </w:tblStylePr>
    <w:tblStylePr w:type="lastCol">
      <w:rPr>
        <w:b/>
        <w:bCs/>
      </w:rPr>
    </w:tblStylePr>
    <w:tblStylePr w:type="band1Vert">
      <w:tblPr/>
      <w:tcPr>
        <w:shd w:val="clear" w:color="auto" w:fill="6ADDFF" w:themeFill="accent1" w:themeFillTint="7F"/>
      </w:tcPr>
    </w:tblStylePr>
    <w:tblStylePr w:type="band1Horz">
      <w:tblPr/>
      <w:tcPr>
        <w:shd w:val="clear" w:color="auto" w:fill="6ADDFF" w:themeFill="accent1" w:themeFillTint="7F"/>
      </w:tcPr>
    </w:tblStylePr>
  </w:style>
  <w:style w:type="table" w:styleId="MediumGrid1-Accent2">
    <w:name w:val="Medium Grid 1 Accent 2"/>
    <w:basedOn w:val="TableNormal"/>
    <w:uiPriority w:val="98"/>
    <w:rsid w:val="00C63303"/>
    <w:tblPr>
      <w:tblStyleRowBandSize w:val="1"/>
      <w:tblStyleColBandSize w:val="1"/>
      <w:tblInd w:w="0" w:type="dxa"/>
      <w:tblBorders>
        <w:top w:val="single" w:sz="8" w:space="0" w:color="F6D260" w:themeColor="accent2" w:themeTint="BF"/>
        <w:left w:val="single" w:sz="8" w:space="0" w:color="F6D260" w:themeColor="accent2" w:themeTint="BF"/>
        <w:bottom w:val="single" w:sz="8" w:space="0" w:color="F6D260" w:themeColor="accent2" w:themeTint="BF"/>
        <w:right w:val="single" w:sz="8" w:space="0" w:color="F6D260" w:themeColor="accent2" w:themeTint="BF"/>
        <w:insideH w:val="single" w:sz="8" w:space="0" w:color="F6D260" w:themeColor="accent2" w:themeTint="BF"/>
        <w:insideV w:val="single" w:sz="8" w:space="0" w:color="F6D260" w:themeColor="accent2" w:themeTint="BF"/>
      </w:tblBorders>
      <w:tblCellMar>
        <w:top w:w="0" w:type="dxa"/>
        <w:left w:w="108" w:type="dxa"/>
        <w:bottom w:w="0" w:type="dxa"/>
        <w:right w:w="108" w:type="dxa"/>
      </w:tblCellMar>
    </w:tblPr>
    <w:tcPr>
      <w:shd w:val="clear" w:color="auto" w:fill="FCF0CA"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6D260" w:themeColor="accent2" w:themeTint="BF"/>
        </w:tcBorders>
      </w:tcPr>
    </w:tblStylePr>
    <w:tblStylePr w:type="firstCol">
      <w:rPr>
        <w:b/>
        <w:bCs/>
      </w:rPr>
    </w:tblStylePr>
    <w:tblStylePr w:type="lastCol">
      <w:rPr>
        <w:b/>
        <w:bCs/>
      </w:rPr>
    </w:tblStylePr>
    <w:tblStylePr w:type="band1Vert">
      <w:tblPr/>
      <w:tcPr>
        <w:shd w:val="clear" w:color="auto" w:fill="F9E195" w:themeFill="accent2" w:themeFillTint="7F"/>
      </w:tcPr>
    </w:tblStylePr>
    <w:tblStylePr w:type="band1Horz">
      <w:tblPr/>
      <w:tcPr>
        <w:shd w:val="clear" w:color="auto" w:fill="F9E195" w:themeFill="accent2" w:themeFillTint="7F"/>
      </w:tcPr>
    </w:tblStylePr>
  </w:style>
  <w:style w:type="table" w:styleId="MediumGrid1-Accent3">
    <w:name w:val="Medium Grid 1 Accent 3"/>
    <w:basedOn w:val="TableNormal"/>
    <w:uiPriority w:val="98"/>
    <w:rsid w:val="00C63303"/>
    <w:tblPr>
      <w:tblStyleRowBandSize w:val="1"/>
      <w:tblStyleColBandSize w:val="1"/>
      <w:tblInd w:w="0" w:type="dxa"/>
      <w:tblBorders>
        <w:top w:val="single" w:sz="8" w:space="0" w:color="2CE4CF" w:themeColor="accent3" w:themeTint="BF"/>
        <w:left w:val="single" w:sz="8" w:space="0" w:color="2CE4CF" w:themeColor="accent3" w:themeTint="BF"/>
        <w:bottom w:val="single" w:sz="8" w:space="0" w:color="2CE4CF" w:themeColor="accent3" w:themeTint="BF"/>
        <w:right w:val="single" w:sz="8" w:space="0" w:color="2CE4CF" w:themeColor="accent3" w:themeTint="BF"/>
        <w:insideH w:val="single" w:sz="8" w:space="0" w:color="2CE4CF" w:themeColor="accent3" w:themeTint="BF"/>
        <w:insideV w:val="single" w:sz="8" w:space="0" w:color="2CE4CF" w:themeColor="accent3" w:themeTint="BF"/>
      </w:tblBorders>
      <w:tblCellMar>
        <w:top w:w="0" w:type="dxa"/>
        <w:left w:w="108" w:type="dxa"/>
        <w:bottom w:w="0" w:type="dxa"/>
        <w:right w:w="108" w:type="dxa"/>
      </w:tblCellMar>
    </w:tblPr>
    <w:tcPr>
      <w:shd w:val="clear" w:color="auto" w:fill="B9F6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2CE4CF" w:themeColor="accent3" w:themeTint="BF"/>
        </w:tcBorders>
      </w:tcPr>
    </w:tblStylePr>
    <w:tblStylePr w:type="firstCol">
      <w:rPr>
        <w:b/>
        <w:bCs/>
      </w:rPr>
    </w:tblStylePr>
    <w:tblStylePr w:type="lastCol">
      <w:rPr>
        <w:b/>
        <w:bCs/>
      </w:rPr>
    </w:tblStylePr>
    <w:tblStylePr w:type="band1Vert">
      <w:tblPr/>
      <w:tcPr>
        <w:shd w:val="clear" w:color="auto" w:fill="73EDDF" w:themeFill="accent3" w:themeFillTint="7F"/>
      </w:tcPr>
    </w:tblStylePr>
    <w:tblStylePr w:type="band1Horz">
      <w:tblPr/>
      <w:tcPr>
        <w:shd w:val="clear" w:color="auto" w:fill="73EDDF" w:themeFill="accent3" w:themeFillTint="7F"/>
      </w:tcPr>
    </w:tblStylePr>
  </w:style>
  <w:style w:type="table" w:styleId="MediumGrid1-Accent4">
    <w:name w:val="Medium Grid 1 Accent 4"/>
    <w:basedOn w:val="TableNormal"/>
    <w:uiPriority w:val="98"/>
    <w:rsid w:val="00C63303"/>
    <w:tblPr>
      <w:tblStyleRowBandSize w:val="1"/>
      <w:tblStyleColBandSize w:val="1"/>
      <w:tblInd w:w="0" w:type="dxa"/>
      <w:tblBorders>
        <w:top w:val="single" w:sz="8" w:space="0" w:color="8B7DB0" w:themeColor="accent4" w:themeTint="BF"/>
        <w:left w:val="single" w:sz="8" w:space="0" w:color="8B7DB0" w:themeColor="accent4" w:themeTint="BF"/>
        <w:bottom w:val="single" w:sz="8" w:space="0" w:color="8B7DB0" w:themeColor="accent4" w:themeTint="BF"/>
        <w:right w:val="single" w:sz="8" w:space="0" w:color="8B7DB0" w:themeColor="accent4" w:themeTint="BF"/>
        <w:insideH w:val="single" w:sz="8" w:space="0" w:color="8B7DB0" w:themeColor="accent4" w:themeTint="BF"/>
        <w:insideV w:val="single" w:sz="8" w:space="0" w:color="8B7DB0" w:themeColor="accent4" w:themeTint="BF"/>
      </w:tblBorders>
      <w:tblCellMar>
        <w:top w:w="0" w:type="dxa"/>
        <w:left w:w="108" w:type="dxa"/>
        <w:bottom w:w="0" w:type="dxa"/>
        <w:right w:w="108" w:type="dxa"/>
      </w:tblCellMar>
    </w:tblPr>
    <w:tcPr>
      <w:shd w:val="clear" w:color="auto" w:fill="D8D4E4"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B7DB0" w:themeColor="accent4" w:themeTint="BF"/>
        </w:tcBorders>
      </w:tcPr>
    </w:tblStylePr>
    <w:tblStylePr w:type="firstCol">
      <w:rPr>
        <w:b/>
        <w:bCs/>
      </w:rPr>
    </w:tblStylePr>
    <w:tblStylePr w:type="lastCol">
      <w:rPr>
        <w:b/>
        <w:bCs/>
      </w:rPr>
    </w:tblStylePr>
    <w:tblStylePr w:type="band1Vert">
      <w:tblPr/>
      <w:tcPr>
        <w:shd w:val="clear" w:color="auto" w:fill="B1A8CA" w:themeFill="accent4" w:themeFillTint="7F"/>
      </w:tcPr>
    </w:tblStylePr>
    <w:tblStylePr w:type="band1Horz">
      <w:tblPr/>
      <w:tcPr>
        <w:shd w:val="clear" w:color="auto" w:fill="B1A8CA" w:themeFill="accent4" w:themeFillTint="7F"/>
      </w:tcPr>
    </w:tblStylePr>
  </w:style>
  <w:style w:type="table" w:styleId="MediumGrid1-Accent5">
    <w:name w:val="Medium Grid 1 Accent 5"/>
    <w:basedOn w:val="TableNormal"/>
    <w:uiPriority w:val="98"/>
    <w:rsid w:val="00C63303"/>
    <w:tblPr>
      <w:tblStyleRowBandSize w:val="1"/>
      <w:tblStyleColBandSize w:val="1"/>
      <w:tblInd w:w="0" w:type="dxa"/>
      <w:tblBorders>
        <w:top w:val="single" w:sz="8" w:space="0" w:color="B59888" w:themeColor="accent5" w:themeTint="BF"/>
        <w:left w:val="single" w:sz="8" w:space="0" w:color="B59888" w:themeColor="accent5" w:themeTint="BF"/>
        <w:bottom w:val="single" w:sz="8" w:space="0" w:color="B59888" w:themeColor="accent5" w:themeTint="BF"/>
        <w:right w:val="single" w:sz="8" w:space="0" w:color="B59888" w:themeColor="accent5" w:themeTint="BF"/>
        <w:insideH w:val="single" w:sz="8" w:space="0" w:color="B59888" w:themeColor="accent5" w:themeTint="BF"/>
        <w:insideV w:val="single" w:sz="8" w:space="0" w:color="B59888" w:themeColor="accent5" w:themeTint="BF"/>
      </w:tblBorders>
      <w:tblCellMar>
        <w:top w:w="0" w:type="dxa"/>
        <w:left w:w="108" w:type="dxa"/>
        <w:bottom w:w="0" w:type="dxa"/>
        <w:right w:w="108" w:type="dxa"/>
      </w:tblCellMar>
    </w:tblPr>
    <w:tcPr>
      <w:shd w:val="clear" w:color="auto" w:fill="E6DDD7"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59888" w:themeColor="accent5" w:themeTint="BF"/>
        </w:tcBorders>
      </w:tcPr>
    </w:tblStylePr>
    <w:tblStylePr w:type="firstCol">
      <w:rPr>
        <w:b/>
        <w:bCs/>
      </w:rPr>
    </w:tblStylePr>
    <w:tblStylePr w:type="lastCol">
      <w:rPr>
        <w:b/>
        <w:bCs/>
      </w:rPr>
    </w:tblStylePr>
    <w:tblStylePr w:type="band1Vert">
      <w:tblPr/>
      <w:tcPr>
        <w:shd w:val="clear" w:color="auto" w:fill="CEBBB0" w:themeFill="accent5" w:themeFillTint="7F"/>
      </w:tcPr>
    </w:tblStylePr>
    <w:tblStylePr w:type="band1Horz">
      <w:tblPr/>
      <w:tcPr>
        <w:shd w:val="clear" w:color="auto" w:fill="CEBBB0" w:themeFill="accent5" w:themeFillTint="7F"/>
      </w:tcPr>
    </w:tblStylePr>
  </w:style>
  <w:style w:type="table" w:styleId="MediumGrid1-Accent6">
    <w:name w:val="Medium Grid 1 Accent 6"/>
    <w:basedOn w:val="TableNormal"/>
    <w:uiPriority w:val="98"/>
    <w:rsid w:val="00C63303"/>
    <w:tblPr>
      <w:tblStyleRowBandSize w:val="1"/>
      <w:tblStyleColBandSize w:val="1"/>
      <w:tblInd w:w="0" w:type="dxa"/>
      <w:tblBorders>
        <w:top w:val="single" w:sz="8" w:space="0" w:color="E8265A" w:themeColor="accent6" w:themeTint="BF"/>
        <w:left w:val="single" w:sz="8" w:space="0" w:color="E8265A" w:themeColor="accent6" w:themeTint="BF"/>
        <w:bottom w:val="single" w:sz="8" w:space="0" w:color="E8265A" w:themeColor="accent6" w:themeTint="BF"/>
        <w:right w:val="single" w:sz="8" w:space="0" w:color="E8265A" w:themeColor="accent6" w:themeTint="BF"/>
        <w:insideH w:val="single" w:sz="8" w:space="0" w:color="E8265A" w:themeColor="accent6" w:themeTint="BF"/>
        <w:insideV w:val="single" w:sz="8" w:space="0" w:color="E8265A" w:themeColor="accent6" w:themeTint="BF"/>
      </w:tblBorders>
      <w:tblCellMar>
        <w:top w:w="0" w:type="dxa"/>
        <w:left w:w="108" w:type="dxa"/>
        <w:bottom w:w="0" w:type="dxa"/>
        <w:right w:w="108" w:type="dxa"/>
      </w:tblCellMar>
    </w:tblPr>
    <w:tcPr>
      <w:shd w:val="clear" w:color="auto" w:fill="F7B7C8"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8265A" w:themeColor="accent6" w:themeTint="BF"/>
        </w:tcBorders>
      </w:tcPr>
    </w:tblStylePr>
    <w:tblStylePr w:type="firstCol">
      <w:rPr>
        <w:b/>
        <w:bCs/>
      </w:rPr>
    </w:tblStylePr>
    <w:tblStylePr w:type="lastCol">
      <w:rPr>
        <w:b/>
        <w:bCs/>
      </w:rPr>
    </w:tblStylePr>
    <w:tblStylePr w:type="band1Vert">
      <w:tblPr/>
      <w:tcPr>
        <w:shd w:val="clear" w:color="auto" w:fill="F06F91" w:themeFill="accent6" w:themeFillTint="7F"/>
      </w:tcPr>
    </w:tblStylePr>
    <w:tblStylePr w:type="band1Horz">
      <w:tblPr/>
      <w:tcPr>
        <w:shd w:val="clear" w:color="auto" w:fill="F06F91"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Ind w:w="0" w:type="dxa"/>
      <w:tblBorders>
        <w:top w:val="single" w:sz="8" w:space="0" w:color="00A5D4" w:themeColor="accent1"/>
        <w:left w:val="single" w:sz="8" w:space="0" w:color="00A5D4" w:themeColor="accent1"/>
        <w:bottom w:val="single" w:sz="8" w:space="0" w:color="00A5D4" w:themeColor="accent1"/>
        <w:right w:val="single" w:sz="8" w:space="0" w:color="00A5D4" w:themeColor="accent1"/>
        <w:insideH w:val="single" w:sz="8" w:space="0" w:color="00A5D4" w:themeColor="accent1"/>
        <w:insideV w:val="single" w:sz="8" w:space="0" w:color="00A5D4" w:themeColor="accent1"/>
      </w:tblBorders>
      <w:tblCellMar>
        <w:top w:w="0" w:type="dxa"/>
        <w:left w:w="108" w:type="dxa"/>
        <w:bottom w:w="0" w:type="dxa"/>
        <w:right w:w="108" w:type="dxa"/>
      </w:tblCellMar>
    </w:tblPr>
    <w:tcPr>
      <w:shd w:val="clear" w:color="auto" w:fill="B5EEF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1F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F1FF" w:themeFill="accent1" w:themeFillTint="33"/>
      </w:tcPr>
    </w:tblStylePr>
    <w:tblStylePr w:type="band1Vert">
      <w:tblPr/>
      <w:tcPr>
        <w:shd w:val="clear" w:color="auto" w:fill="6ADDFF" w:themeFill="accent1" w:themeFillTint="7F"/>
      </w:tcPr>
    </w:tblStylePr>
    <w:tblStylePr w:type="band1Horz">
      <w:tblPr/>
      <w:tcPr>
        <w:tcBorders>
          <w:insideH w:val="single" w:sz="6" w:space="0" w:color="00A5D4" w:themeColor="accent1"/>
          <w:insideV w:val="single" w:sz="6" w:space="0" w:color="00A5D4" w:themeColor="accent1"/>
        </w:tcBorders>
        <w:shd w:val="clear" w:color="auto" w:fill="6A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Ind w:w="0" w:type="dxa"/>
      <w:tblBorders>
        <w:top w:val="single" w:sz="8" w:space="0" w:color="F3C42C" w:themeColor="accent2"/>
        <w:left w:val="single" w:sz="8" w:space="0" w:color="F3C42C" w:themeColor="accent2"/>
        <w:bottom w:val="single" w:sz="8" w:space="0" w:color="F3C42C" w:themeColor="accent2"/>
        <w:right w:val="single" w:sz="8" w:space="0" w:color="F3C42C" w:themeColor="accent2"/>
        <w:insideH w:val="single" w:sz="8" w:space="0" w:color="F3C42C" w:themeColor="accent2"/>
        <w:insideV w:val="single" w:sz="8" w:space="0" w:color="F3C42C" w:themeColor="accent2"/>
      </w:tblBorders>
      <w:tblCellMar>
        <w:top w:w="0" w:type="dxa"/>
        <w:left w:w="108" w:type="dxa"/>
        <w:bottom w:w="0" w:type="dxa"/>
        <w:right w:w="108" w:type="dxa"/>
      </w:tblCellMar>
    </w:tblPr>
    <w:tcPr>
      <w:shd w:val="clear" w:color="auto" w:fill="FCF0CA"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F9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3D4" w:themeFill="accent2" w:themeFillTint="33"/>
      </w:tcPr>
    </w:tblStylePr>
    <w:tblStylePr w:type="band1Vert">
      <w:tblPr/>
      <w:tcPr>
        <w:shd w:val="clear" w:color="auto" w:fill="F9E195" w:themeFill="accent2" w:themeFillTint="7F"/>
      </w:tcPr>
    </w:tblStylePr>
    <w:tblStylePr w:type="band1Horz">
      <w:tblPr/>
      <w:tcPr>
        <w:tcBorders>
          <w:insideH w:val="single" w:sz="6" w:space="0" w:color="F3C42C" w:themeColor="accent2"/>
          <w:insideV w:val="single" w:sz="6" w:space="0" w:color="F3C42C" w:themeColor="accent2"/>
        </w:tcBorders>
        <w:shd w:val="clear" w:color="auto" w:fill="F9E19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Ind w:w="0" w:type="dxa"/>
      <w:tblBorders>
        <w:top w:val="single" w:sz="8" w:space="0" w:color="16AB9B" w:themeColor="accent3"/>
        <w:left w:val="single" w:sz="8" w:space="0" w:color="16AB9B" w:themeColor="accent3"/>
        <w:bottom w:val="single" w:sz="8" w:space="0" w:color="16AB9B" w:themeColor="accent3"/>
        <w:right w:val="single" w:sz="8" w:space="0" w:color="16AB9B" w:themeColor="accent3"/>
        <w:insideH w:val="single" w:sz="8" w:space="0" w:color="16AB9B" w:themeColor="accent3"/>
        <w:insideV w:val="single" w:sz="8" w:space="0" w:color="16AB9B" w:themeColor="accent3"/>
      </w:tblBorders>
      <w:tblCellMar>
        <w:top w:w="0" w:type="dxa"/>
        <w:left w:w="108" w:type="dxa"/>
        <w:bottom w:w="0" w:type="dxa"/>
        <w:right w:w="108" w:type="dxa"/>
      </w:tblCellMar>
    </w:tblPr>
    <w:tcPr>
      <w:shd w:val="clear" w:color="auto" w:fill="B9F6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3FB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F2" w:themeFill="accent3" w:themeFillTint="33"/>
      </w:tcPr>
    </w:tblStylePr>
    <w:tblStylePr w:type="band1Vert">
      <w:tblPr/>
      <w:tcPr>
        <w:shd w:val="clear" w:color="auto" w:fill="73EDDF" w:themeFill="accent3" w:themeFillTint="7F"/>
      </w:tcPr>
    </w:tblStylePr>
    <w:tblStylePr w:type="band1Horz">
      <w:tblPr/>
      <w:tcPr>
        <w:tcBorders>
          <w:insideH w:val="single" w:sz="6" w:space="0" w:color="16AB9B" w:themeColor="accent3"/>
          <w:insideV w:val="single" w:sz="6" w:space="0" w:color="16AB9B" w:themeColor="accent3"/>
        </w:tcBorders>
        <w:shd w:val="clear" w:color="auto" w:fill="73ED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Ind w:w="0" w:type="dxa"/>
      <w:tblBorders>
        <w:top w:val="single" w:sz="8" w:space="0" w:color="675890" w:themeColor="accent4"/>
        <w:left w:val="single" w:sz="8" w:space="0" w:color="675890" w:themeColor="accent4"/>
        <w:bottom w:val="single" w:sz="8" w:space="0" w:color="675890" w:themeColor="accent4"/>
        <w:right w:val="single" w:sz="8" w:space="0" w:color="675890" w:themeColor="accent4"/>
        <w:insideH w:val="single" w:sz="8" w:space="0" w:color="675890" w:themeColor="accent4"/>
        <w:insideV w:val="single" w:sz="8" w:space="0" w:color="675890" w:themeColor="accent4"/>
      </w:tblBorders>
      <w:tblCellMar>
        <w:top w:w="0" w:type="dxa"/>
        <w:left w:w="108" w:type="dxa"/>
        <w:bottom w:w="0" w:type="dxa"/>
        <w:right w:w="108" w:type="dxa"/>
      </w:tblCellMar>
    </w:tblPr>
    <w:tcPr>
      <w:shd w:val="clear" w:color="auto" w:fill="D8D4E4"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E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CEA" w:themeFill="accent4" w:themeFillTint="33"/>
      </w:tcPr>
    </w:tblStylePr>
    <w:tblStylePr w:type="band1Vert">
      <w:tblPr/>
      <w:tcPr>
        <w:shd w:val="clear" w:color="auto" w:fill="B1A8CA" w:themeFill="accent4" w:themeFillTint="7F"/>
      </w:tcPr>
    </w:tblStylePr>
    <w:tblStylePr w:type="band1Horz">
      <w:tblPr/>
      <w:tcPr>
        <w:tcBorders>
          <w:insideH w:val="single" w:sz="6" w:space="0" w:color="675890" w:themeColor="accent4"/>
          <w:insideV w:val="single" w:sz="6" w:space="0" w:color="675890" w:themeColor="accent4"/>
        </w:tcBorders>
        <w:shd w:val="clear" w:color="auto" w:fill="B1A8C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Ind w:w="0" w:type="dxa"/>
      <w:tblBorders>
        <w:top w:val="single" w:sz="8" w:space="0" w:color="9C7761" w:themeColor="accent5"/>
        <w:left w:val="single" w:sz="8" w:space="0" w:color="9C7761" w:themeColor="accent5"/>
        <w:bottom w:val="single" w:sz="8" w:space="0" w:color="9C7761" w:themeColor="accent5"/>
        <w:right w:val="single" w:sz="8" w:space="0" w:color="9C7761" w:themeColor="accent5"/>
        <w:insideH w:val="single" w:sz="8" w:space="0" w:color="9C7761" w:themeColor="accent5"/>
        <w:insideV w:val="single" w:sz="8" w:space="0" w:color="9C7761" w:themeColor="accent5"/>
      </w:tblBorders>
      <w:tblCellMar>
        <w:top w:w="0" w:type="dxa"/>
        <w:left w:w="108" w:type="dxa"/>
        <w:bottom w:w="0" w:type="dxa"/>
        <w:right w:w="108" w:type="dxa"/>
      </w:tblCellMar>
    </w:tblPr>
    <w:tcPr>
      <w:shd w:val="clear" w:color="auto" w:fill="E6DDD7"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1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3DF" w:themeFill="accent5" w:themeFillTint="33"/>
      </w:tcPr>
    </w:tblStylePr>
    <w:tblStylePr w:type="band1Vert">
      <w:tblPr/>
      <w:tcPr>
        <w:shd w:val="clear" w:color="auto" w:fill="CEBBB0" w:themeFill="accent5" w:themeFillTint="7F"/>
      </w:tcPr>
    </w:tblStylePr>
    <w:tblStylePr w:type="band1Horz">
      <w:tblPr/>
      <w:tcPr>
        <w:tcBorders>
          <w:insideH w:val="single" w:sz="6" w:space="0" w:color="9C7761" w:themeColor="accent5"/>
          <w:insideV w:val="single" w:sz="6" w:space="0" w:color="9C7761" w:themeColor="accent5"/>
        </w:tcBorders>
        <w:shd w:val="clear" w:color="auto" w:fill="CEBBB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Ind w:w="0" w:type="dxa"/>
      <w:tblBorders>
        <w:top w:val="single" w:sz="8" w:space="0" w:color="AD123C" w:themeColor="accent6"/>
        <w:left w:val="single" w:sz="8" w:space="0" w:color="AD123C" w:themeColor="accent6"/>
        <w:bottom w:val="single" w:sz="8" w:space="0" w:color="AD123C" w:themeColor="accent6"/>
        <w:right w:val="single" w:sz="8" w:space="0" w:color="AD123C" w:themeColor="accent6"/>
        <w:insideH w:val="single" w:sz="8" w:space="0" w:color="AD123C" w:themeColor="accent6"/>
        <w:insideV w:val="single" w:sz="8" w:space="0" w:color="AD123C" w:themeColor="accent6"/>
      </w:tblBorders>
      <w:tblCellMar>
        <w:top w:w="0" w:type="dxa"/>
        <w:left w:w="108" w:type="dxa"/>
        <w:bottom w:w="0" w:type="dxa"/>
        <w:right w:w="108" w:type="dxa"/>
      </w:tblCellMar>
    </w:tblPr>
    <w:tcPr>
      <w:shd w:val="clear" w:color="auto" w:fill="F7B7C8"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CE2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5D3" w:themeFill="accent6" w:themeFillTint="33"/>
      </w:tcPr>
    </w:tblStylePr>
    <w:tblStylePr w:type="band1Vert">
      <w:tblPr/>
      <w:tcPr>
        <w:shd w:val="clear" w:color="auto" w:fill="F06F91" w:themeFill="accent6" w:themeFillTint="7F"/>
      </w:tcPr>
    </w:tblStylePr>
    <w:tblStylePr w:type="band1Horz">
      <w:tblPr/>
      <w:tcPr>
        <w:tcBorders>
          <w:insideH w:val="single" w:sz="6" w:space="0" w:color="AD123C" w:themeColor="accent6"/>
          <w:insideV w:val="single" w:sz="6" w:space="0" w:color="AD123C" w:themeColor="accent6"/>
        </w:tcBorders>
        <w:shd w:val="clear" w:color="auto" w:fill="F06F9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EEF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D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D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D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D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DDFF" w:themeFill="accent1" w:themeFillTint="7F"/>
      </w:tcPr>
    </w:tblStylePr>
  </w:style>
  <w:style w:type="table" w:styleId="MediumGrid3-Accent2">
    <w:name w:val="Medium Grid 3 Accent 2"/>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F0CA"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C42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C42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C42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C42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E19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E195" w:themeFill="accent2" w:themeFillTint="7F"/>
      </w:tcPr>
    </w:tblStylePr>
  </w:style>
  <w:style w:type="table" w:styleId="MediumGrid3-Accent3">
    <w:name w:val="Medium Grid 3 Accent 3"/>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9F6E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AB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AB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AB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AB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D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DDF" w:themeFill="accent3" w:themeFillTint="7F"/>
      </w:tcPr>
    </w:tblStylePr>
  </w:style>
  <w:style w:type="table" w:styleId="MediumGrid3-Accent4">
    <w:name w:val="Medium Grid 3 Accent 4"/>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4E4"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8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8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8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8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A8C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A8CA" w:themeFill="accent4" w:themeFillTint="7F"/>
      </w:tcPr>
    </w:tblStylePr>
  </w:style>
  <w:style w:type="table" w:styleId="MediumGrid3-Accent5">
    <w:name w:val="Medium Grid 3 Accent 5"/>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DDD7"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776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776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776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776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BB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BBB0" w:themeFill="accent5" w:themeFillTint="7F"/>
      </w:tcPr>
    </w:tblStylePr>
  </w:style>
  <w:style w:type="table" w:styleId="MediumGrid3-Accent6">
    <w:name w:val="Medium Grid 3 Accent 6"/>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7B7C8"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12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12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12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12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6F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6F91"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C2A2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Ind w:w="0" w:type="dxa"/>
      <w:tblBorders>
        <w:top w:val="single" w:sz="8" w:space="0" w:color="00A5D4" w:themeColor="accent1"/>
        <w:bottom w:val="single" w:sz="8" w:space="0" w:color="00A5D4"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A5D4" w:themeColor="accent1"/>
        </w:tcBorders>
      </w:tcPr>
    </w:tblStylePr>
    <w:tblStylePr w:type="lastRow">
      <w:rPr>
        <w:b/>
        <w:bCs/>
        <w:color w:val="2C2A29" w:themeColor="text2"/>
      </w:rPr>
      <w:tblPr/>
      <w:tcPr>
        <w:tcBorders>
          <w:top w:val="single" w:sz="8" w:space="0" w:color="00A5D4" w:themeColor="accent1"/>
          <w:bottom w:val="single" w:sz="8" w:space="0" w:color="00A5D4" w:themeColor="accent1"/>
        </w:tcBorders>
      </w:tcPr>
    </w:tblStylePr>
    <w:tblStylePr w:type="firstCol">
      <w:rPr>
        <w:b/>
        <w:bCs/>
      </w:rPr>
    </w:tblStylePr>
    <w:tblStylePr w:type="lastCol">
      <w:rPr>
        <w:b/>
        <w:bCs/>
      </w:rPr>
      <w:tblPr/>
      <w:tcPr>
        <w:tcBorders>
          <w:top w:val="single" w:sz="8" w:space="0" w:color="00A5D4" w:themeColor="accent1"/>
          <w:bottom w:val="single" w:sz="8" w:space="0" w:color="00A5D4" w:themeColor="accent1"/>
        </w:tcBorders>
      </w:tcPr>
    </w:tblStylePr>
    <w:tblStylePr w:type="band1Vert">
      <w:tblPr/>
      <w:tcPr>
        <w:shd w:val="clear" w:color="auto" w:fill="B5EEFF" w:themeFill="accent1" w:themeFillTint="3F"/>
      </w:tcPr>
    </w:tblStylePr>
    <w:tblStylePr w:type="band1Horz">
      <w:tblPr/>
      <w:tcPr>
        <w:shd w:val="clear" w:color="auto" w:fill="B5EEFF"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Ind w:w="0" w:type="dxa"/>
      <w:tblBorders>
        <w:top w:val="single" w:sz="8" w:space="0" w:color="F3C42C" w:themeColor="accent2"/>
        <w:bottom w:val="single" w:sz="8" w:space="0" w:color="F3C42C"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3C42C" w:themeColor="accent2"/>
        </w:tcBorders>
      </w:tcPr>
    </w:tblStylePr>
    <w:tblStylePr w:type="lastRow">
      <w:rPr>
        <w:b/>
        <w:bCs/>
        <w:color w:val="2C2A29" w:themeColor="text2"/>
      </w:rPr>
      <w:tblPr/>
      <w:tcPr>
        <w:tcBorders>
          <w:top w:val="single" w:sz="8" w:space="0" w:color="F3C42C" w:themeColor="accent2"/>
          <w:bottom w:val="single" w:sz="8" w:space="0" w:color="F3C42C" w:themeColor="accent2"/>
        </w:tcBorders>
      </w:tcPr>
    </w:tblStylePr>
    <w:tblStylePr w:type="firstCol">
      <w:rPr>
        <w:b/>
        <w:bCs/>
      </w:rPr>
    </w:tblStylePr>
    <w:tblStylePr w:type="lastCol">
      <w:rPr>
        <w:b/>
        <w:bCs/>
      </w:rPr>
      <w:tblPr/>
      <w:tcPr>
        <w:tcBorders>
          <w:top w:val="single" w:sz="8" w:space="0" w:color="F3C42C" w:themeColor="accent2"/>
          <w:bottom w:val="single" w:sz="8" w:space="0" w:color="F3C42C" w:themeColor="accent2"/>
        </w:tcBorders>
      </w:tcPr>
    </w:tblStylePr>
    <w:tblStylePr w:type="band1Vert">
      <w:tblPr/>
      <w:tcPr>
        <w:shd w:val="clear" w:color="auto" w:fill="FCF0CA" w:themeFill="accent2" w:themeFillTint="3F"/>
      </w:tcPr>
    </w:tblStylePr>
    <w:tblStylePr w:type="band1Horz">
      <w:tblPr/>
      <w:tcPr>
        <w:shd w:val="clear" w:color="auto" w:fill="FCF0CA"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Ind w:w="0" w:type="dxa"/>
      <w:tblBorders>
        <w:top w:val="single" w:sz="8" w:space="0" w:color="16AB9B" w:themeColor="accent3"/>
        <w:bottom w:val="single" w:sz="8" w:space="0" w:color="16AB9B"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16AB9B" w:themeColor="accent3"/>
        </w:tcBorders>
      </w:tcPr>
    </w:tblStylePr>
    <w:tblStylePr w:type="lastRow">
      <w:rPr>
        <w:b/>
        <w:bCs/>
        <w:color w:val="2C2A29" w:themeColor="text2"/>
      </w:rPr>
      <w:tblPr/>
      <w:tcPr>
        <w:tcBorders>
          <w:top w:val="single" w:sz="8" w:space="0" w:color="16AB9B" w:themeColor="accent3"/>
          <w:bottom w:val="single" w:sz="8" w:space="0" w:color="16AB9B" w:themeColor="accent3"/>
        </w:tcBorders>
      </w:tcPr>
    </w:tblStylePr>
    <w:tblStylePr w:type="firstCol">
      <w:rPr>
        <w:b/>
        <w:bCs/>
      </w:rPr>
    </w:tblStylePr>
    <w:tblStylePr w:type="lastCol">
      <w:rPr>
        <w:b/>
        <w:bCs/>
      </w:rPr>
      <w:tblPr/>
      <w:tcPr>
        <w:tcBorders>
          <w:top w:val="single" w:sz="8" w:space="0" w:color="16AB9B" w:themeColor="accent3"/>
          <w:bottom w:val="single" w:sz="8" w:space="0" w:color="16AB9B" w:themeColor="accent3"/>
        </w:tcBorders>
      </w:tcPr>
    </w:tblStylePr>
    <w:tblStylePr w:type="band1Vert">
      <w:tblPr/>
      <w:tcPr>
        <w:shd w:val="clear" w:color="auto" w:fill="B9F6EF" w:themeFill="accent3" w:themeFillTint="3F"/>
      </w:tcPr>
    </w:tblStylePr>
    <w:tblStylePr w:type="band1Horz">
      <w:tblPr/>
      <w:tcPr>
        <w:shd w:val="clear" w:color="auto" w:fill="B9F6EF"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Ind w:w="0" w:type="dxa"/>
      <w:tblBorders>
        <w:top w:val="single" w:sz="8" w:space="0" w:color="675890" w:themeColor="accent4"/>
        <w:bottom w:val="single" w:sz="8" w:space="0" w:color="67589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75890" w:themeColor="accent4"/>
        </w:tcBorders>
      </w:tcPr>
    </w:tblStylePr>
    <w:tblStylePr w:type="lastRow">
      <w:rPr>
        <w:b/>
        <w:bCs/>
        <w:color w:val="2C2A29" w:themeColor="text2"/>
      </w:rPr>
      <w:tblPr/>
      <w:tcPr>
        <w:tcBorders>
          <w:top w:val="single" w:sz="8" w:space="0" w:color="675890" w:themeColor="accent4"/>
          <w:bottom w:val="single" w:sz="8" w:space="0" w:color="675890" w:themeColor="accent4"/>
        </w:tcBorders>
      </w:tcPr>
    </w:tblStylePr>
    <w:tblStylePr w:type="firstCol">
      <w:rPr>
        <w:b/>
        <w:bCs/>
      </w:rPr>
    </w:tblStylePr>
    <w:tblStylePr w:type="lastCol">
      <w:rPr>
        <w:b/>
        <w:bCs/>
      </w:rPr>
      <w:tblPr/>
      <w:tcPr>
        <w:tcBorders>
          <w:top w:val="single" w:sz="8" w:space="0" w:color="675890" w:themeColor="accent4"/>
          <w:bottom w:val="single" w:sz="8" w:space="0" w:color="675890" w:themeColor="accent4"/>
        </w:tcBorders>
      </w:tcPr>
    </w:tblStylePr>
    <w:tblStylePr w:type="band1Vert">
      <w:tblPr/>
      <w:tcPr>
        <w:shd w:val="clear" w:color="auto" w:fill="D8D4E4" w:themeFill="accent4" w:themeFillTint="3F"/>
      </w:tcPr>
    </w:tblStylePr>
    <w:tblStylePr w:type="band1Horz">
      <w:tblPr/>
      <w:tcPr>
        <w:shd w:val="clear" w:color="auto" w:fill="D8D4E4"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Ind w:w="0" w:type="dxa"/>
      <w:tblBorders>
        <w:top w:val="single" w:sz="8" w:space="0" w:color="9C7761" w:themeColor="accent5"/>
        <w:bottom w:val="single" w:sz="8" w:space="0" w:color="9C7761"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C7761" w:themeColor="accent5"/>
        </w:tcBorders>
      </w:tcPr>
    </w:tblStylePr>
    <w:tblStylePr w:type="lastRow">
      <w:rPr>
        <w:b/>
        <w:bCs/>
        <w:color w:val="2C2A29" w:themeColor="text2"/>
      </w:rPr>
      <w:tblPr/>
      <w:tcPr>
        <w:tcBorders>
          <w:top w:val="single" w:sz="8" w:space="0" w:color="9C7761" w:themeColor="accent5"/>
          <w:bottom w:val="single" w:sz="8" w:space="0" w:color="9C7761" w:themeColor="accent5"/>
        </w:tcBorders>
      </w:tcPr>
    </w:tblStylePr>
    <w:tblStylePr w:type="firstCol">
      <w:rPr>
        <w:b/>
        <w:bCs/>
      </w:rPr>
    </w:tblStylePr>
    <w:tblStylePr w:type="lastCol">
      <w:rPr>
        <w:b/>
        <w:bCs/>
      </w:rPr>
      <w:tblPr/>
      <w:tcPr>
        <w:tcBorders>
          <w:top w:val="single" w:sz="8" w:space="0" w:color="9C7761" w:themeColor="accent5"/>
          <w:bottom w:val="single" w:sz="8" w:space="0" w:color="9C7761" w:themeColor="accent5"/>
        </w:tcBorders>
      </w:tcPr>
    </w:tblStylePr>
    <w:tblStylePr w:type="band1Vert">
      <w:tblPr/>
      <w:tcPr>
        <w:shd w:val="clear" w:color="auto" w:fill="E6DDD7" w:themeFill="accent5" w:themeFillTint="3F"/>
      </w:tcPr>
    </w:tblStylePr>
    <w:tblStylePr w:type="band1Horz">
      <w:tblPr/>
      <w:tcPr>
        <w:shd w:val="clear" w:color="auto" w:fill="E6DDD7"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Ind w:w="0" w:type="dxa"/>
      <w:tblBorders>
        <w:top w:val="single" w:sz="8" w:space="0" w:color="AD123C" w:themeColor="accent6"/>
        <w:bottom w:val="single" w:sz="8" w:space="0" w:color="AD123C"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D123C" w:themeColor="accent6"/>
        </w:tcBorders>
      </w:tcPr>
    </w:tblStylePr>
    <w:tblStylePr w:type="lastRow">
      <w:rPr>
        <w:b/>
        <w:bCs/>
        <w:color w:val="2C2A29" w:themeColor="text2"/>
      </w:rPr>
      <w:tblPr/>
      <w:tcPr>
        <w:tcBorders>
          <w:top w:val="single" w:sz="8" w:space="0" w:color="AD123C" w:themeColor="accent6"/>
          <w:bottom w:val="single" w:sz="8" w:space="0" w:color="AD123C" w:themeColor="accent6"/>
        </w:tcBorders>
      </w:tcPr>
    </w:tblStylePr>
    <w:tblStylePr w:type="firstCol">
      <w:rPr>
        <w:b/>
        <w:bCs/>
      </w:rPr>
    </w:tblStylePr>
    <w:tblStylePr w:type="lastCol">
      <w:rPr>
        <w:b/>
        <w:bCs/>
      </w:rPr>
      <w:tblPr/>
      <w:tcPr>
        <w:tcBorders>
          <w:top w:val="single" w:sz="8" w:space="0" w:color="AD123C" w:themeColor="accent6"/>
          <w:bottom w:val="single" w:sz="8" w:space="0" w:color="AD123C" w:themeColor="accent6"/>
        </w:tcBorders>
      </w:tcPr>
    </w:tblStylePr>
    <w:tblStylePr w:type="band1Vert">
      <w:tblPr/>
      <w:tcPr>
        <w:shd w:val="clear" w:color="auto" w:fill="F7B7C8" w:themeFill="accent6" w:themeFillTint="3F"/>
      </w:tcPr>
    </w:tblStylePr>
    <w:tblStylePr w:type="band1Horz">
      <w:tblPr/>
      <w:tcPr>
        <w:shd w:val="clear" w:color="auto" w:fill="F7B7C8"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Ind w:w="0" w:type="dxa"/>
      <w:tblBorders>
        <w:top w:val="single" w:sz="8" w:space="0" w:color="00A5D4" w:themeColor="accent1"/>
        <w:left w:val="single" w:sz="8" w:space="0" w:color="00A5D4" w:themeColor="accent1"/>
        <w:bottom w:val="single" w:sz="8" w:space="0" w:color="00A5D4" w:themeColor="accent1"/>
        <w:right w:val="single" w:sz="8" w:space="0" w:color="00A5D4"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A5D4" w:themeColor="accent1"/>
          <w:right w:val="nil"/>
          <w:insideH w:val="nil"/>
          <w:insideV w:val="nil"/>
        </w:tcBorders>
        <w:shd w:val="clear" w:color="auto" w:fill="FFFFFF" w:themeFill="background1"/>
      </w:tcPr>
    </w:tblStylePr>
    <w:tblStylePr w:type="lastRow">
      <w:tblPr/>
      <w:tcPr>
        <w:tcBorders>
          <w:top w:val="single" w:sz="8" w:space="0" w:color="00A5D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D4" w:themeColor="accent1"/>
          <w:insideH w:val="nil"/>
          <w:insideV w:val="nil"/>
        </w:tcBorders>
        <w:shd w:val="clear" w:color="auto" w:fill="FFFFFF" w:themeFill="background1"/>
      </w:tcPr>
    </w:tblStylePr>
    <w:tblStylePr w:type="lastCol">
      <w:tblPr/>
      <w:tcPr>
        <w:tcBorders>
          <w:top w:val="nil"/>
          <w:left w:val="single" w:sz="8" w:space="0" w:color="00A5D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EEFF" w:themeFill="accent1" w:themeFillTint="3F"/>
      </w:tcPr>
    </w:tblStylePr>
    <w:tblStylePr w:type="band1Horz">
      <w:tblPr/>
      <w:tcPr>
        <w:tcBorders>
          <w:top w:val="nil"/>
          <w:bottom w:val="nil"/>
          <w:insideH w:val="nil"/>
          <w:insideV w:val="nil"/>
        </w:tcBorders>
        <w:shd w:val="clear" w:color="auto" w:fill="B5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Ind w:w="0" w:type="dxa"/>
      <w:tblBorders>
        <w:top w:val="single" w:sz="8" w:space="0" w:color="F3C42C" w:themeColor="accent2"/>
        <w:left w:val="single" w:sz="8" w:space="0" w:color="F3C42C" w:themeColor="accent2"/>
        <w:bottom w:val="single" w:sz="8" w:space="0" w:color="F3C42C" w:themeColor="accent2"/>
        <w:right w:val="single" w:sz="8" w:space="0" w:color="F3C42C"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3C42C" w:themeColor="accent2"/>
          <w:right w:val="nil"/>
          <w:insideH w:val="nil"/>
          <w:insideV w:val="nil"/>
        </w:tcBorders>
        <w:shd w:val="clear" w:color="auto" w:fill="FFFFFF" w:themeFill="background1"/>
      </w:tcPr>
    </w:tblStylePr>
    <w:tblStylePr w:type="lastRow">
      <w:tblPr/>
      <w:tcPr>
        <w:tcBorders>
          <w:top w:val="single" w:sz="8" w:space="0" w:color="F3C42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C42C" w:themeColor="accent2"/>
          <w:insideH w:val="nil"/>
          <w:insideV w:val="nil"/>
        </w:tcBorders>
        <w:shd w:val="clear" w:color="auto" w:fill="FFFFFF" w:themeFill="background1"/>
      </w:tcPr>
    </w:tblStylePr>
    <w:tblStylePr w:type="lastCol">
      <w:tblPr/>
      <w:tcPr>
        <w:tcBorders>
          <w:top w:val="nil"/>
          <w:left w:val="single" w:sz="8" w:space="0" w:color="F3C42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0CA" w:themeFill="accent2" w:themeFillTint="3F"/>
      </w:tcPr>
    </w:tblStylePr>
    <w:tblStylePr w:type="band1Horz">
      <w:tblPr/>
      <w:tcPr>
        <w:tcBorders>
          <w:top w:val="nil"/>
          <w:bottom w:val="nil"/>
          <w:insideH w:val="nil"/>
          <w:insideV w:val="nil"/>
        </w:tcBorders>
        <w:shd w:val="clear" w:color="auto" w:fill="FCF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Ind w:w="0" w:type="dxa"/>
      <w:tblBorders>
        <w:top w:val="single" w:sz="8" w:space="0" w:color="16AB9B" w:themeColor="accent3"/>
        <w:left w:val="single" w:sz="8" w:space="0" w:color="16AB9B" w:themeColor="accent3"/>
        <w:bottom w:val="single" w:sz="8" w:space="0" w:color="16AB9B" w:themeColor="accent3"/>
        <w:right w:val="single" w:sz="8" w:space="0" w:color="16AB9B"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16AB9B" w:themeColor="accent3"/>
          <w:right w:val="nil"/>
          <w:insideH w:val="nil"/>
          <w:insideV w:val="nil"/>
        </w:tcBorders>
        <w:shd w:val="clear" w:color="auto" w:fill="FFFFFF" w:themeFill="background1"/>
      </w:tcPr>
    </w:tblStylePr>
    <w:tblStylePr w:type="lastRow">
      <w:tblPr/>
      <w:tcPr>
        <w:tcBorders>
          <w:top w:val="single" w:sz="8" w:space="0" w:color="16AB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AB9B" w:themeColor="accent3"/>
          <w:insideH w:val="nil"/>
          <w:insideV w:val="nil"/>
        </w:tcBorders>
        <w:shd w:val="clear" w:color="auto" w:fill="FFFFFF" w:themeFill="background1"/>
      </w:tcPr>
    </w:tblStylePr>
    <w:tblStylePr w:type="lastCol">
      <w:tblPr/>
      <w:tcPr>
        <w:tcBorders>
          <w:top w:val="nil"/>
          <w:left w:val="single" w:sz="8" w:space="0" w:color="16AB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6EF" w:themeFill="accent3" w:themeFillTint="3F"/>
      </w:tcPr>
    </w:tblStylePr>
    <w:tblStylePr w:type="band1Horz">
      <w:tblPr/>
      <w:tcPr>
        <w:tcBorders>
          <w:top w:val="nil"/>
          <w:bottom w:val="nil"/>
          <w:insideH w:val="nil"/>
          <w:insideV w:val="nil"/>
        </w:tcBorders>
        <w:shd w:val="clear" w:color="auto" w:fill="B9F6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Ind w:w="0" w:type="dxa"/>
      <w:tblBorders>
        <w:top w:val="single" w:sz="8" w:space="0" w:color="675890" w:themeColor="accent4"/>
        <w:left w:val="single" w:sz="8" w:space="0" w:color="675890" w:themeColor="accent4"/>
        <w:bottom w:val="single" w:sz="8" w:space="0" w:color="675890" w:themeColor="accent4"/>
        <w:right w:val="single" w:sz="8" w:space="0" w:color="67589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75890" w:themeColor="accent4"/>
          <w:right w:val="nil"/>
          <w:insideH w:val="nil"/>
          <w:insideV w:val="nil"/>
        </w:tcBorders>
        <w:shd w:val="clear" w:color="auto" w:fill="FFFFFF" w:themeFill="background1"/>
      </w:tcPr>
    </w:tblStylePr>
    <w:tblStylePr w:type="lastRow">
      <w:tblPr/>
      <w:tcPr>
        <w:tcBorders>
          <w:top w:val="single" w:sz="8" w:space="0" w:color="6758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890" w:themeColor="accent4"/>
          <w:insideH w:val="nil"/>
          <w:insideV w:val="nil"/>
        </w:tcBorders>
        <w:shd w:val="clear" w:color="auto" w:fill="FFFFFF" w:themeFill="background1"/>
      </w:tcPr>
    </w:tblStylePr>
    <w:tblStylePr w:type="lastCol">
      <w:tblPr/>
      <w:tcPr>
        <w:tcBorders>
          <w:top w:val="nil"/>
          <w:left w:val="single" w:sz="8" w:space="0" w:color="6758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4E4" w:themeFill="accent4" w:themeFillTint="3F"/>
      </w:tcPr>
    </w:tblStylePr>
    <w:tblStylePr w:type="band1Horz">
      <w:tblPr/>
      <w:tcPr>
        <w:tcBorders>
          <w:top w:val="nil"/>
          <w:bottom w:val="nil"/>
          <w:insideH w:val="nil"/>
          <w:insideV w:val="nil"/>
        </w:tcBorders>
        <w:shd w:val="clear" w:color="auto" w:fill="D8D4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Ind w:w="0" w:type="dxa"/>
      <w:tblBorders>
        <w:top w:val="single" w:sz="8" w:space="0" w:color="9C7761" w:themeColor="accent5"/>
        <w:left w:val="single" w:sz="8" w:space="0" w:color="9C7761" w:themeColor="accent5"/>
        <w:bottom w:val="single" w:sz="8" w:space="0" w:color="9C7761" w:themeColor="accent5"/>
        <w:right w:val="single" w:sz="8" w:space="0" w:color="9C7761"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C7761" w:themeColor="accent5"/>
          <w:right w:val="nil"/>
          <w:insideH w:val="nil"/>
          <w:insideV w:val="nil"/>
        </w:tcBorders>
        <w:shd w:val="clear" w:color="auto" w:fill="FFFFFF" w:themeFill="background1"/>
      </w:tcPr>
    </w:tblStylePr>
    <w:tblStylePr w:type="lastRow">
      <w:tblPr/>
      <w:tcPr>
        <w:tcBorders>
          <w:top w:val="single" w:sz="8" w:space="0" w:color="9C776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7761" w:themeColor="accent5"/>
          <w:insideH w:val="nil"/>
          <w:insideV w:val="nil"/>
        </w:tcBorders>
        <w:shd w:val="clear" w:color="auto" w:fill="FFFFFF" w:themeFill="background1"/>
      </w:tcPr>
    </w:tblStylePr>
    <w:tblStylePr w:type="lastCol">
      <w:tblPr/>
      <w:tcPr>
        <w:tcBorders>
          <w:top w:val="nil"/>
          <w:left w:val="single" w:sz="8" w:space="0" w:color="9C776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DD7" w:themeFill="accent5" w:themeFillTint="3F"/>
      </w:tcPr>
    </w:tblStylePr>
    <w:tblStylePr w:type="band1Horz">
      <w:tblPr/>
      <w:tcPr>
        <w:tcBorders>
          <w:top w:val="nil"/>
          <w:bottom w:val="nil"/>
          <w:insideH w:val="nil"/>
          <w:insideV w:val="nil"/>
        </w:tcBorders>
        <w:shd w:val="clear" w:color="auto" w:fill="E6DD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Ind w:w="0" w:type="dxa"/>
      <w:tblBorders>
        <w:top w:val="single" w:sz="8" w:space="0" w:color="AD123C" w:themeColor="accent6"/>
        <w:left w:val="single" w:sz="8" w:space="0" w:color="AD123C" w:themeColor="accent6"/>
        <w:bottom w:val="single" w:sz="8" w:space="0" w:color="AD123C" w:themeColor="accent6"/>
        <w:right w:val="single" w:sz="8" w:space="0" w:color="AD123C"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D123C" w:themeColor="accent6"/>
          <w:right w:val="nil"/>
          <w:insideH w:val="nil"/>
          <w:insideV w:val="nil"/>
        </w:tcBorders>
        <w:shd w:val="clear" w:color="auto" w:fill="FFFFFF" w:themeFill="background1"/>
      </w:tcPr>
    </w:tblStylePr>
    <w:tblStylePr w:type="lastRow">
      <w:tblPr/>
      <w:tcPr>
        <w:tcBorders>
          <w:top w:val="single" w:sz="8" w:space="0" w:color="AD12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123C" w:themeColor="accent6"/>
          <w:insideH w:val="nil"/>
          <w:insideV w:val="nil"/>
        </w:tcBorders>
        <w:shd w:val="clear" w:color="auto" w:fill="FFFFFF" w:themeFill="background1"/>
      </w:tcPr>
    </w:tblStylePr>
    <w:tblStylePr w:type="lastCol">
      <w:tblPr/>
      <w:tcPr>
        <w:tcBorders>
          <w:top w:val="nil"/>
          <w:left w:val="single" w:sz="8" w:space="0" w:color="AD12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B7C8" w:themeFill="accent6" w:themeFillTint="3F"/>
      </w:tcPr>
    </w:tblStylePr>
    <w:tblStylePr w:type="band1Horz">
      <w:tblPr/>
      <w:tcPr>
        <w:tcBorders>
          <w:top w:val="nil"/>
          <w:bottom w:val="nil"/>
          <w:insideH w:val="nil"/>
          <w:insideV w:val="nil"/>
        </w:tcBorders>
        <w:shd w:val="clear" w:color="auto" w:fill="F7B7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Ind w:w="0" w:type="dxa"/>
      <w:tblBorders>
        <w:top w:val="single" w:sz="8" w:space="0" w:color="1FCDFF" w:themeColor="accent1" w:themeTint="BF"/>
        <w:left w:val="single" w:sz="8" w:space="0" w:color="1FCDFF" w:themeColor="accent1" w:themeTint="BF"/>
        <w:bottom w:val="single" w:sz="8" w:space="0" w:color="1FCDFF" w:themeColor="accent1" w:themeTint="BF"/>
        <w:right w:val="single" w:sz="8" w:space="0" w:color="1FCDFF" w:themeColor="accent1" w:themeTint="BF"/>
        <w:insideH w:val="single" w:sz="8" w:space="0" w:color="1FCDFF" w:themeColor="accent1"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1FCDFF" w:themeColor="accent1" w:themeTint="BF"/>
          <w:left w:val="single" w:sz="8" w:space="0" w:color="1FCDFF" w:themeColor="accent1" w:themeTint="BF"/>
          <w:bottom w:val="single" w:sz="8" w:space="0" w:color="1FCDFF" w:themeColor="accent1" w:themeTint="BF"/>
          <w:right w:val="single" w:sz="8" w:space="0" w:color="1FCDFF" w:themeColor="accent1" w:themeTint="BF"/>
          <w:insideH w:val="nil"/>
          <w:insideV w:val="nil"/>
        </w:tcBorders>
        <w:shd w:val="clear" w:color="auto" w:fill="00A5D4" w:themeFill="accent1"/>
      </w:tcPr>
    </w:tblStylePr>
    <w:tblStylePr w:type="lastRow">
      <w:pPr>
        <w:spacing w:before="0" w:after="0" w:line="240" w:lineRule="auto"/>
      </w:pPr>
      <w:rPr>
        <w:b/>
        <w:bCs/>
      </w:rPr>
      <w:tblPr/>
      <w:tcPr>
        <w:tcBorders>
          <w:top w:val="double" w:sz="6" w:space="0" w:color="1FCDFF" w:themeColor="accent1" w:themeTint="BF"/>
          <w:left w:val="single" w:sz="8" w:space="0" w:color="1FCDFF" w:themeColor="accent1" w:themeTint="BF"/>
          <w:bottom w:val="single" w:sz="8" w:space="0" w:color="1FCDFF" w:themeColor="accent1" w:themeTint="BF"/>
          <w:right w:val="single" w:sz="8" w:space="0" w:color="1FCD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EEFF" w:themeFill="accent1" w:themeFillTint="3F"/>
      </w:tcPr>
    </w:tblStylePr>
    <w:tblStylePr w:type="band1Horz">
      <w:tblPr/>
      <w:tcPr>
        <w:tcBorders>
          <w:insideH w:val="nil"/>
          <w:insideV w:val="nil"/>
        </w:tcBorders>
        <w:shd w:val="clear" w:color="auto" w:fill="B5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Ind w:w="0" w:type="dxa"/>
      <w:tblBorders>
        <w:top w:val="single" w:sz="8" w:space="0" w:color="F6D260" w:themeColor="accent2" w:themeTint="BF"/>
        <w:left w:val="single" w:sz="8" w:space="0" w:color="F6D260" w:themeColor="accent2" w:themeTint="BF"/>
        <w:bottom w:val="single" w:sz="8" w:space="0" w:color="F6D260" w:themeColor="accent2" w:themeTint="BF"/>
        <w:right w:val="single" w:sz="8" w:space="0" w:color="F6D260" w:themeColor="accent2" w:themeTint="BF"/>
        <w:insideH w:val="single" w:sz="8" w:space="0" w:color="F6D260" w:themeColor="accent2"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6D260" w:themeColor="accent2" w:themeTint="BF"/>
          <w:left w:val="single" w:sz="8" w:space="0" w:color="F6D260" w:themeColor="accent2" w:themeTint="BF"/>
          <w:bottom w:val="single" w:sz="8" w:space="0" w:color="F6D260" w:themeColor="accent2" w:themeTint="BF"/>
          <w:right w:val="single" w:sz="8" w:space="0" w:color="F6D260" w:themeColor="accent2" w:themeTint="BF"/>
          <w:insideH w:val="nil"/>
          <w:insideV w:val="nil"/>
        </w:tcBorders>
        <w:shd w:val="clear" w:color="auto" w:fill="F3C42C" w:themeFill="accent2"/>
      </w:tcPr>
    </w:tblStylePr>
    <w:tblStylePr w:type="lastRow">
      <w:pPr>
        <w:spacing w:before="0" w:after="0" w:line="240" w:lineRule="auto"/>
      </w:pPr>
      <w:rPr>
        <w:b/>
        <w:bCs/>
      </w:rPr>
      <w:tblPr/>
      <w:tcPr>
        <w:tcBorders>
          <w:top w:val="double" w:sz="6" w:space="0" w:color="F6D260" w:themeColor="accent2" w:themeTint="BF"/>
          <w:left w:val="single" w:sz="8" w:space="0" w:color="F6D260" w:themeColor="accent2" w:themeTint="BF"/>
          <w:bottom w:val="single" w:sz="8" w:space="0" w:color="F6D260" w:themeColor="accent2" w:themeTint="BF"/>
          <w:right w:val="single" w:sz="8" w:space="0" w:color="F6D26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F0CA" w:themeFill="accent2" w:themeFillTint="3F"/>
      </w:tcPr>
    </w:tblStylePr>
    <w:tblStylePr w:type="band1Horz">
      <w:tblPr/>
      <w:tcPr>
        <w:tcBorders>
          <w:insideH w:val="nil"/>
          <w:insideV w:val="nil"/>
        </w:tcBorders>
        <w:shd w:val="clear" w:color="auto" w:fill="FCF0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Ind w:w="0" w:type="dxa"/>
      <w:tblBorders>
        <w:top w:val="single" w:sz="8" w:space="0" w:color="2CE4CF" w:themeColor="accent3" w:themeTint="BF"/>
        <w:left w:val="single" w:sz="8" w:space="0" w:color="2CE4CF" w:themeColor="accent3" w:themeTint="BF"/>
        <w:bottom w:val="single" w:sz="8" w:space="0" w:color="2CE4CF" w:themeColor="accent3" w:themeTint="BF"/>
        <w:right w:val="single" w:sz="8" w:space="0" w:color="2CE4CF" w:themeColor="accent3" w:themeTint="BF"/>
        <w:insideH w:val="single" w:sz="8" w:space="0" w:color="2CE4CF" w:themeColor="accent3"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2CE4CF" w:themeColor="accent3" w:themeTint="BF"/>
          <w:left w:val="single" w:sz="8" w:space="0" w:color="2CE4CF" w:themeColor="accent3" w:themeTint="BF"/>
          <w:bottom w:val="single" w:sz="8" w:space="0" w:color="2CE4CF" w:themeColor="accent3" w:themeTint="BF"/>
          <w:right w:val="single" w:sz="8" w:space="0" w:color="2CE4CF" w:themeColor="accent3" w:themeTint="BF"/>
          <w:insideH w:val="nil"/>
          <w:insideV w:val="nil"/>
        </w:tcBorders>
        <w:shd w:val="clear" w:color="auto" w:fill="16AB9B" w:themeFill="accent3"/>
      </w:tcPr>
    </w:tblStylePr>
    <w:tblStylePr w:type="lastRow">
      <w:pPr>
        <w:spacing w:before="0" w:after="0" w:line="240" w:lineRule="auto"/>
      </w:pPr>
      <w:rPr>
        <w:b/>
        <w:bCs/>
      </w:rPr>
      <w:tblPr/>
      <w:tcPr>
        <w:tcBorders>
          <w:top w:val="double" w:sz="6" w:space="0" w:color="2CE4CF" w:themeColor="accent3" w:themeTint="BF"/>
          <w:left w:val="single" w:sz="8" w:space="0" w:color="2CE4CF" w:themeColor="accent3" w:themeTint="BF"/>
          <w:bottom w:val="single" w:sz="8" w:space="0" w:color="2CE4CF" w:themeColor="accent3" w:themeTint="BF"/>
          <w:right w:val="single" w:sz="8" w:space="0" w:color="2CE4C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9F6EF" w:themeFill="accent3" w:themeFillTint="3F"/>
      </w:tcPr>
    </w:tblStylePr>
    <w:tblStylePr w:type="band1Horz">
      <w:tblPr/>
      <w:tcPr>
        <w:tcBorders>
          <w:insideH w:val="nil"/>
          <w:insideV w:val="nil"/>
        </w:tcBorders>
        <w:shd w:val="clear" w:color="auto" w:fill="B9F6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Ind w:w="0" w:type="dxa"/>
      <w:tblBorders>
        <w:top w:val="single" w:sz="8" w:space="0" w:color="8B7DB0" w:themeColor="accent4" w:themeTint="BF"/>
        <w:left w:val="single" w:sz="8" w:space="0" w:color="8B7DB0" w:themeColor="accent4" w:themeTint="BF"/>
        <w:bottom w:val="single" w:sz="8" w:space="0" w:color="8B7DB0" w:themeColor="accent4" w:themeTint="BF"/>
        <w:right w:val="single" w:sz="8" w:space="0" w:color="8B7DB0" w:themeColor="accent4" w:themeTint="BF"/>
        <w:insideH w:val="single" w:sz="8" w:space="0" w:color="8B7DB0" w:themeColor="accent4"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B7DB0" w:themeColor="accent4" w:themeTint="BF"/>
          <w:left w:val="single" w:sz="8" w:space="0" w:color="8B7DB0" w:themeColor="accent4" w:themeTint="BF"/>
          <w:bottom w:val="single" w:sz="8" w:space="0" w:color="8B7DB0" w:themeColor="accent4" w:themeTint="BF"/>
          <w:right w:val="single" w:sz="8" w:space="0" w:color="8B7DB0" w:themeColor="accent4" w:themeTint="BF"/>
          <w:insideH w:val="nil"/>
          <w:insideV w:val="nil"/>
        </w:tcBorders>
        <w:shd w:val="clear" w:color="auto" w:fill="675890" w:themeFill="accent4"/>
      </w:tcPr>
    </w:tblStylePr>
    <w:tblStylePr w:type="lastRow">
      <w:pPr>
        <w:spacing w:before="0" w:after="0" w:line="240" w:lineRule="auto"/>
      </w:pPr>
      <w:rPr>
        <w:b/>
        <w:bCs/>
      </w:rPr>
      <w:tblPr/>
      <w:tcPr>
        <w:tcBorders>
          <w:top w:val="double" w:sz="6" w:space="0" w:color="8B7DB0" w:themeColor="accent4" w:themeTint="BF"/>
          <w:left w:val="single" w:sz="8" w:space="0" w:color="8B7DB0" w:themeColor="accent4" w:themeTint="BF"/>
          <w:bottom w:val="single" w:sz="8" w:space="0" w:color="8B7DB0" w:themeColor="accent4" w:themeTint="BF"/>
          <w:right w:val="single" w:sz="8" w:space="0" w:color="8B7DB0"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D4E4" w:themeFill="accent4" w:themeFillTint="3F"/>
      </w:tcPr>
    </w:tblStylePr>
    <w:tblStylePr w:type="band1Horz">
      <w:tblPr/>
      <w:tcPr>
        <w:tcBorders>
          <w:insideH w:val="nil"/>
          <w:insideV w:val="nil"/>
        </w:tcBorders>
        <w:shd w:val="clear" w:color="auto" w:fill="D8D4E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Ind w:w="0" w:type="dxa"/>
      <w:tblBorders>
        <w:top w:val="single" w:sz="8" w:space="0" w:color="B59888" w:themeColor="accent5" w:themeTint="BF"/>
        <w:left w:val="single" w:sz="8" w:space="0" w:color="B59888" w:themeColor="accent5" w:themeTint="BF"/>
        <w:bottom w:val="single" w:sz="8" w:space="0" w:color="B59888" w:themeColor="accent5" w:themeTint="BF"/>
        <w:right w:val="single" w:sz="8" w:space="0" w:color="B59888" w:themeColor="accent5" w:themeTint="BF"/>
        <w:insideH w:val="single" w:sz="8" w:space="0" w:color="B59888" w:themeColor="accent5"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59888" w:themeColor="accent5" w:themeTint="BF"/>
          <w:left w:val="single" w:sz="8" w:space="0" w:color="B59888" w:themeColor="accent5" w:themeTint="BF"/>
          <w:bottom w:val="single" w:sz="8" w:space="0" w:color="B59888" w:themeColor="accent5" w:themeTint="BF"/>
          <w:right w:val="single" w:sz="8" w:space="0" w:color="B59888" w:themeColor="accent5" w:themeTint="BF"/>
          <w:insideH w:val="nil"/>
          <w:insideV w:val="nil"/>
        </w:tcBorders>
        <w:shd w:val="clear" w:color="auto" w:fill="9C7761" w:themeFill="accent5"/>
      </w:tcPr>
    </w:tblStylePr>
    <w:tblStylePr w:type="lastRow">
      <w:pPr>
        <w:spacing w:before="0" w:after="0" w:line="240" w:lineRule="auto"/>
      </w:pPr>
      <w:rPr>
        <w:b/>
        <w:bCs/>
      </w:rPr>
      <w:tblPr/>
      <w:tcPr>
        <w:tcBorders>
          <w:top w:val="double" w:sz="6" w:space="0" w:color="B59888" w:themeColor="accent5" w:themeTint="BF"/>
          <w:left w:val="single" w:sz="8" w:space="0" w:color="B59888" w:themeColor="accent5" w:themeTint="BF"/>
          <w:bottom w:val="single" w:sz="8" w:space="0" w:color="B59888" w:themeColor="accent5" w:themeTint="BF"/>
          <w:right w:val="single" w:sz="8" w:space="0" w:color="B5988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DD7" w:themeFill="accent5" w:themeFillTint="3F"/>
      </w:tcPr>
    </w:tblStylePr>
    <w:tblStylePr w:type="band1Horz">
      <w:tblPr/>
      <w:tcPr>
        <w:tcBorders>
          <w:insideH w:val="nil"/>
          <w:insideV w:val="nil"/>
        </w:tcBorders>
        <w:shd w:val="clear" w:color="auto" w:fill="E6DD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Ind w:w="0" w:type="dxa"/>
      <w:tblBorders>
        <w:top w:val="single" w:sz="8" w:space="0" w:color="E8265A" w:themeColor="accent6" w:themeTint="BF"/>
        <w:left w:val="single" w:sz="8" w:space="0" w:color="E8265A" w:themeColor="accent6" w:themeTint="BF"/>
        <w:bottom w:val="single" w:sz="8" w:space="0" w:color="E8265A" w:themeColor="accent6" w:themeTint="BF"/>
        <w:right w:val="single" w:sz="8" w:space="0" w:color="E8265A" w:themeColor="accent6" w:themeTint="BF"/>
        <w:insideH w:val="single" w:sz="8" w:space="0" w:color="E8265A" w:themeColor="accent6"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8265A" w:themeColor="accent6" w:themeTint="BF"/>
          <w:left w:val="single" w:sz="8" w:space="0" w:color="E8265A" w:themeColor="accent6" w:themeTint="BF"/>
          <w:bottom w:val="single" w:sz="8" w:space="0" w:color="E8265A" w:themeColor="accent6" w:themeTint="BF"/>
          <w:right w:val="single" w:sz="8" w:space="0" w:color="E8265A" w:themeColor="accent6" w:themeTint="BF"/>
          <w:insideH w:val="nil"/>
          <w:insideV w:val="nil"/>
        </w:tcBorders>
        <w:shd w:val="clear" w:color="auto" w:fill="AD123C" w:themeFill="accent6"/>
      </w:tcPr>
    </w:tblStylePr>
    <w:tblStylePr w:type="lastRow">
      <w:pPr>
        <w:spacing w:before="0" w:after="0" w:line="240" w:lineRule="auto"/>
      </w:pPr>
      <w:rPr>
        <w:b/>
        <w:bCs/>
      </w:rPr>
      <w:tblPr/>
      <w:tcPr>
        <w:tcBorders>
          <w:top w:val="double" w:sz="6" w:space="0" w:color="E8265A" w:themeColor="accent6" w:themeTint="BF"/>
          <w:left w:val="single" w:sz="8" w:space="0" w:color="E8265A" w:themeColor="accent6" w:themeTint="BF"/>
          <w:bottom w:val="single" w:sz="8" w:space="0" w:color="E8265A" w:themeColor="accent6" w:themeTint="BF"/>
          <w:right w:val="single" w:sz="8" w:space="0" w:color="E826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B7C8" w:themeFill="accent6" w:themeFillTint="3F"/>
      </w:tcPr>
    </w:tblStylePr>
    <w:tblStylePr w:type="band1Horz">
      <w:tblPr/>
      <w:tcPr>
        <w:tcBorders>
          <w:insideH w:val="nil"/>
          <w:insideV w:val="nil"/>
        </w:tcBorders>
        <w:shd w:val="clear" w:color="auto" w:fill="F7B7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5D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5D4" w:themeFill="accent1"/>
      </w:tcPr>
    </w:tblStylePr>
    <w:tblStylePr w:type="lastCol">
      <w:rPr>
        <w:b/>
        <w:bCs/>
        <w:color w:val="FFFFFF" w:themeColor="background1"/>
      </w:rPr>
      <w:tblPr/>
      <w:tcPr>
        <w:tcBorders>
          <w:left w:val="nil"/>
          <w:right w:val="nil"/>
          <w:insideH w:val="nil"/>
          <w:insideV w:val="nil"/>
        </w:tcBorders>
        <w:shd w:val="clear" w:color="auto" w:fill="00A5D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3C42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C42C" w:themeFill="accent2"/>
      </w:tcPr>
    </w:tblStylePr>
    <w:tblStylePr w:type="lastCol">
      <w:rPr>
        <w:b/>
        <w:bCs/>
        <w:color w:val="FFFFFF" w:themeColor="background1"/>
      </w:rPr>
      <w:tblPr/>
      <w:tcPr>
        <w:tcBorders>
          <w:left w:val="nil"/>
          <w:right w:val="nil"/>
          <w:insideH w:val="nil"/>
          <w:insideV w:val="nil"/>
        </w:tcBorders>
        <w:shd w:val="clear" w:color="auto" w:fill="F3C42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6AB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AB9B" w:themeFill="accent3"/>
      </w:tcPr>
    </w:tblStylePr>
    <w:tblStylePr w:type="lastCol">
      <w:rPr>
        <w:b/>
        <w:bCs/>
        <w:color w:val="FFFFFF" w:themeColor="background1"/>
      </w:rPr>
      <w:tblPr/>
      <w:tcPr>
        <w:tcBorders>
          <w:left w:val="nil"/>
          <w:right w:val="nil"/>
          <w:insideH w:val="nil"/>
          <w:insideV w:val="nil"/>
        </w:tcBorders>
        <w:shd w:val="clear" w:color="auto" w:fill="16AB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758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890" w:themeFill="accent4"/>
      </w:tcPr>
    </w:tblStylePr>
    <w:tblStylePr w:type="lastCol">
      <w:rPr>
        <w:b/>
        <w:bCs/>
        <w:color w:val="FFFFFF" w:themeColor="background1"/>
      </w:rPr>
      <w:tblPr/>
      <w:tcPr>
        <w:tcBorders>
          <w:left w:val="nil"/>
          <w:right w:val="nil"/>
          <w:insideH w:val="nil"/>
          <w:insideV w:val="nil"/>
        </w:tcBorders>
        <w:shd w:val="clear" w:color="auto" w:fill="6758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C776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7761" w:themeFill="accent5"/>
      </w:tcPr>
    </w:tblStylePr>
    <w:tblStylePr w:type="lastCol">
      <w:rPr>
        <w:b/>
        <w:bCs/>
        <w:color w:val="FFFFFF" w:themeColor="background1"/>
      </w:rPr>
      <w:tblPr/>
      <w:tcPr>
        <w:tcBorders>
          <w:left w:val="nil"/>
          <w:right w:val="nil"/>
          <w:insideH w:val="nil"/>
          <w:insideV w:val="nil"/>
        </w:tcBorders>
        <w:shd w:val="clear" w:color="auto" w:fill="9C776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D12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123C" w:themeFill="accent6"/>
      </w:tcPr>
    </w:tblStylePr>
    <w:tblStylePr w:type="lastCol">
      <w:rPr>
        <w:b/>
        <w:bCs/>
        <w:color w:val="FFFFFF" w:themeColor="background1"/>
      </w:rPr>
      <w:tblPr/>
      <w:tcPr>
        <w:tcBorders>
          <w:left w:val="nil"/>
          <w:right w:val="nil"/>
          <w:insideH w:val="nil"/>
          <w:insideV w:val="nil"/>
        </w:tcBorders>
        <w:shd w:val="clear" w:color="auto" w:fill="AD12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C6330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C63303"/>
    <w:rPr>
      <w:rFonts w:asciiTheme="minorHAnsi" w:eastAsiaTheme="majorEastAsia" w:hAnsiTheme="minorHAnsi" w:cstheme="minorHAnsi"/>
      <w:kern w:val="20"/>
      <w:sz w:val="24"/>
      <w:szCs w:val="24"/>
      <w:shd w:val="pct20" w:color="auto" w:fill="auto"/>
      <w:lang w:val="en-AU" w:eastAsia="zh-CN"/>
    </w:rPr>
  </w:style>
  <w:style w:type="paragraph" w:styleId="NoSpacing">
    <w:name w:val="No Spacing"/>
    <w:uiPriority w:val="97"/>
    <w:semiHidden/>
    <w:qFormat/>
    <w:rsid w:val="00C63303"/>
    <w:pPr>
      <w:adjustRightInd w:val="0"/>
      <w:snapToGrid w:val="0"/>
    </w:pPr>
    <w:rPr>
      <w:rFonts w:asciiTheme="minorHAnsi" w:hAnsiTheme="minorHAnsi" w:cstheme="minorHAnsi"/>
      <w:kern w:val="20"/>
      <w:szCs w:val="24"/>
      <w:lang w:val="en-AU" w:eastAsia="zh-CN"/>
    </w:rPr>
  </w:style>
  <w:style w:type="paragraph" w:styleId="NormalWeb">
    <w:name w:val="Normal (Web)"/>
    <w:basedOn w:val="Normal"/>
    <w:uiPriority w:val="97"/>
    <w:semiHidden/>
    <w:rsid w:val="00C63303"/>
    <w:rPr>
      <w:sz w:val="24"/>
    </w:rPr>
  </w:style>
  <w:style w:type="paragraph" w:styleId="NormalIndent">
    <w:name w:val="Normal Indent"/>
    <w:basedOn w:val="Normal"/>
    <w:uiPriority w:val="97"/>
    <w:semiHidden/>
    <w:rsid w:val="00C63303"/>
    <w:pPr>
      <w:ind w:left="720"/>
    </w:pPr>
  </w:style>
  <w:style w:type="paragraph" w:styleId="NoteHeading">
    <w:name w:val="Note Heading"/>
    <w:basedOn w:val="Normal"/>
    <w:next w:val="Normal"/>
    <w:link w:val="NoteHeadingChar"/>
    <w:uiPriority w:val="97"/>
    <w:semiHidden/>
    <w:rsid w:val="00C63303"/>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C63303"/>
    <w:rPr>
      <w:rFonts w:asciiTheme="majorHAnsi" w:hAnsiTheme="majorHAnsi" w:cstheme="majorHAnsi"/>
      <w:kern w:val="20"/>
      <w:szCs w:val="24"/>
      <w:lang w:val="en-AU" w:eastAsia="zh-CN"/>
    </w:rPr>
  </w:style>
  <w:style w:type="character" w:styleId="PlaceholderText">
    <w:name w:val="Placeholder Text"/>
    <w:basedOn w:val="DefaultParagraphFont"/>
    <w:uiPriority w:val="11"/>
    <w:semiHidden/>
    <w:rsid w:val="00C63303"/>
    <w:rPr>
      <w:rFonts w:asciiTheme="minorHAnsi" w:hAnsiTheme="minorHAnsi" w:cstheme="minorHAnsi"/>
      <w:color w:val="808080"/>
    </w:rPr>
  </w:style>
  <w:style w:type="paragraph" w:styleId="PlainText">
    <w:name w:val="Plain Text"/>
    <w:basedOn w:val="Normal"/>
    <w:link w:val="PlainTextChar"/>
    <w:uiPriority w:val="97"/>
    <w:semiHidden/>
    <w:rsid w:val="00C63303"/>
    <w:pPr>
      <w:spacing w:after="0" w:line="240" w:lineRule="auto"/>
    </w:pPr>
    <w:rPr>
      <w:sz w:val="21"/>
      <w:szCs w:val="21"/>
    </w:rPr>
  </w:style>
  <w:style w:type="character" w:customStyle="1" w:styleId="PlainTextChar">
    <w:name w:val="Plain Text Char"/>
    <w:basedOn w:val="DefaultParagraphFont"/>
    <w:link w:val="PlainText"/>
    <w:rsid w:val="00C63303"/>
    <w:rPr>
      <w:rFonts w:asciiTheme="minorHAnsi" w:hAnsiTheme="minorHAnsi" w:cstheme="minorHAnsi"/>
      <w:kern w:val="20"/>
      <w:sz w:val="21"/>
      <w:szCs w:val="21"/>
      <w:lang w:val="en-AU" w:eastAsia="zh-CN"/>
    </w:rPr>
  </w:style>
  <w:style w:type="paragraph" w:styleId="Quote">
    <w:name w:val="Quote"/>
    <w:basedOn w:val="Normal"/>
    <w:next w:val="Normal"/>
    <w:link w:val="QuoteChar"/>
    <w:uiPriority w:val="97"/>
    <w:semiHidden/>
    <w:rsid w:val="002752E0"/>
    <w:pPr>
      <w:pBdr>
        <w:top w:val="dotted" w:sz="12" w:space="15" w:color="15397F" w:themeColor="background2"/>
        <w:bottom w:val="dotted" w:sz="12" w:space="15" w:color="15397F" w:themeColor="background2"/>
      </w:pBdr>
      <w:spacing w:line="440" w:lineRule="atLeast"/>
    </w:pPr>
    <w:rPr>
      <w:b/>
      <w:iCs/>
      <w:color w:val="15397F" w:themeColor="background2"/>
      <w:sz w:val="32"/>
    </w:rPr>
  </w:style>
  <w:style w:type="character" w:customStyle="1" w:styleId="QuoteChar">
    <w:name w:val="Quote Char"/>
    <w:basedOn w:val="DefaultParagraphFont"/>
    <w:link w:val="Quote"/>
    <w:uiPriority w:val="97"/>
    <w:semiHidden/>
    <w:rsid w:val="00453506"/>
    <w:rPr>
      <w:rFonts w:asciiTheme="minorHAnsi" w:eastAsia="MS Mincho" w:hAnsiTheme="minorHAnsi"/>
      <w:b/>
      <w:iCs/>
      <w:color w:val="15397F" w:themeColor="background2"/>
      <w:sz w:val="32"/>
      <w:lang w:val="en-AU" w:eastAsia="ja-JP"/>
    </w:rPr>
  </w:style>
  <w:style w:type="paragraph" w:styleId="Salutation">
    <w:name w:val="Salutation"/>
    <w:basedOn w:val="Normal"/>
    <w:next w:val="Normal"/>
    <w:link w:val="SalutationChar"/>
    <w:uiPriority w:val="97"/>
    <w:semiHidden/>
    <w:rsid w:val="00C63303"/>
  </w:style>
  <w:style w:type="character" w:customStyle="1" w:styleId="SalutationChar">
    <w:name w:val="Salutation Char"/>
    <w:basedOn w:val="DefaultParagraphFont"/>
    <w:link w:val="Salutation"/>
    <w:rsid w:val="00C63303"/>
    <w:rPr>
      <w:rFonts w:asciiTheme="minorHAnsi" w:hAnsiTheme="minorHAnsi" w:cstheme="minorHAnsi"/>
      <w:kern w:val="20"/>
      <w:szCs w:val="24"/>
      <w:lang w:val="en-AU" w:eastAsia="zh-CN"/>
    </w:rPr>
  </w:style>
  <w:style w:type="paragraph" w:styleId="Signature">
    <w:name w:val="Signature"/>
    <w:basedOn w:val="Normal"/>
    <w:link w:val="SignatureChar"/>
    <w:uiPriority w:val="97"/>
    <w:semiHidden/>
    <w:rsid w:val="00C63303"/>
    <w:pPr>
      <w:spacing w:after="0" w:line="240" w:lineRule="auto"/>
      <w:ind w:left="4252"/>
    </w:pPr>
  </w:style>
  <w:style w:type="character" w:customStyle="1" w:styleId="SignatureChar">
    <w:name w:val="Signature Char"/>
    <w:basedOn w:val="DefaultParagraphFont"/>
    <w:link w:val="Signature"/>
    <w:rsid w:val="00C63303"/>
    <w:rPr>
      <w:rFonts w:asciiTheme="minorHAnsi" w:hAnsiTheme="minorHAnsi" w:cstheme="minorHAnsi"/>
      <w:kern w:val="20"/>
      <w:szCs w:val="24"/>
      <w:lang w:val="en-AU" w:eastAsia="zh-CN"/>
    </w:rPr>
  </w:style>
  <w:style w:type="character" w:styleId="Strong">
    <w:name w:val="Strong"/>
    <w:basedOn w:val="DefaultParagraphFont"/>
    <w:uiPriority w:val="97"/>
    <w:semiHidden/>
    <w:rsid w:val="00C63303"/>
    <w:rPr>
      <w:rFonts w:asciiTheme="minorHAnsi" w:hAnsiTheme="minorHAnsi" w:cstheme="minorHAnsi"/>
      <w:b/>
      <w:bCs/>
    </w:rPr>
  </w:style>
  <w:style w:type="paragraph" w:styleId="Subtitle">
    <w:name w:val="Subtitle"/>
    <w:basedOn w:val="Normal"/>
    <w:next w:val="Normal"/>
    <w:link w:val="SubtitleChar"/>
    <w:uiPriority w:val="97"/>
    <w:semiHidden/>
    <w:rsid w:val="00C63303"/>
    <w:pPr>
      <w:numPr>
        <w:ilvl w:val="1"/>
      </w:numPr>
    </w:pPr>
    <w:rPr>
      <w:rFonts w:eastAsiaTheme="majorEastAsia"/>
      <w:i/>
      <w:iCs/>
      <w:color w:val="00A5D4" w:themeColor="accent1"/>
      <w:spacing w:val="15"/>
      <w:sz w:val="24"/>
    </w:rPr>
  </w:style>
  <w:style w:type="character" w:customStyle="1" w:styleId="SubtitleChar">
    <w:name w:val="Subtitle Char"/>
    <w:basedOn w:val="DefaultParagraphFont"/>
    <w:link w:val="Subtitle"/>
    <w:rsid w:val="00C63303"/>
    <w:rPr>
      <w:rFonts w:asciiTheme="minorHAnsi" w:eastAsiaTheme="majorEastAsia" w:hAnsiTheme="minorHAnsi" w:cstheme="minorHAnsi"/>
      <w:i/>
      <w:iCs/>
      <w:color w:val="00A5D4" w:themeColor="accent1"/>
      <w:spacing w:val="15"/>
      <w:kern w:val="20"/>
      <w:sz w:val="24"/>
      <w:szCs w:val="24"/>
      <w:lang w:val="en-AU" w:eastAsia="zh-CN"/>
    </w:rPr>
  </w:style>
  <w:style w:type="character" w:styleId="SubtleEmphasis">
    <w:name w:val="Subtle Emphasis"/>
    <w:basedOn w:val="DefaultParagraphFont"/>
    <w:uiPriority w:val="97"/>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C63303"/>
    <w:rPr>
      <w:rFonts w:asciiTheme="minorHAnsi" w:hAnsiTheme="minorHAnsi" w:cstheme="minorHAnsi"/>
      <w:smallCaps/>
      <w:color w:val="F3C42C"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blInd w:w="0" w:type="dxa"/>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Ind w:w="0" w:type="dxa"/>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Ind w:w="0" w:type="dxa"/>
      <w:tblBorders>
        <w:bottom w:val="single" w:sz="12" w:space="0" w:color="808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C63303"/>
    <w:pPr>
      <w:spacing w:after="0"/>
      <w:ind w:left="200" w:hanging="200"/>
    </w:pPr>
  </w:style>
  <w:style w:type="paragraph" w:styleId="TableofFigures">
    <w:name w:val="table of figures"/>
    <w:basedOn w:val="Normal"/>
    <w:next w:val="Normal"/>
    <w:uiPriority w:val="97"/>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C63303"/>
    <w:pPr>
      <w:pBdr>
        <w:bottom w:val="single" w:sz="8" w:space="4" w:color="00A5D4" w:themeColor="accent1"/>
      </w:pBdr>
      <w:spacing w:after="300" w:line="240" w:lineRule="auto"/>
      <w:contextualSpacing/>
    </w:pPr>
    <w:rPr>
      <w:rFonts w:eastAsiaTheme="majorEastAsia"/>
      <w:color w:val="201F1E" w:themeColor="text2" w:themeShade="BF"/>
      <w:spacing w:val="5"/>
      <w:kern w:val="28"/>
      <w:sz w:val="52"/>
      <w:szCs w:val="52"/>
    </w:rPr>
  </w:style>
  <w:style w:type="character" w:customStyle="1" w:styleId="TitleChar">
    <w:name w:val="Title Char"/>
    <w:basedOn w:val="DefaultParagraphFont"/>
    <w:link w:val="Title"/>
    <w:rsid w:val="00C63303"/>
    <w:rPr>
      <w:rFonts w:asciiTheme="minorHAnsi" w:eastAsiaTheme="majorEastAsia" w:hAnsiTheme="minorHAnsi" w:cstheme="minorHAnsi"/>
      <w:color w:val="201F1E" w:themeColor="text2" w:themeShade="BF"/>
      <w:spacing w:val="5"/>
      <w:kern w:val="28"/>
      <w:sz w:val="52"/>
      <w:szCs w:val="52"/>
      <w:lang w:val="en-AU" w:eastAsia="zh-CN"/>
    </w:rPr>
  </w:style>
  <w:style w:type="paragraph" w:styleId="TOAHeading">
    <w:name w:val="toa heading"/>
    <w:basedOn w:val="Normal"/>
    <w:next w:val="Normal"/>
    <w:uiPriority w:val="97"/>
    <w:semiHidden/>
    <w:rsid w:val="00C63303"/>
    <w:pPr>
      <w:spacing w:before="120"/>
    </w:pPr>
    <w:rPr>
      <w:rFonts w:asciiTheme="majorHAnsi" w:eastAsiaTheme="majorEastAsia" w:hAnsiTheme="majorHAnsi" w:cstheme="majorHAnsi"/>
      <w:b/>
      <w:bCs/>
      <w:sz w:val="24"/>
    </w:rPr>
  </w:style>
  <w:style w:type="paragraph" w:styleId="TOC4">
    <w:name w:val="toc 4"/>
    <w:basedOn w:val="Normal"/>
    <w:next w:val="Normal"/>
    <w:autoRedefine/>
    <w:uiPriority w:val="11"/>
    <w:semiHidden/>
    <w:rsid w:val="00C63303"/>
    <w:pPr>
      <w:spacing w:after="100"/>
      <w:ind w:left="600"/>
    </w:pPr>
  </w:style>
  <w:style w:type="paragraph" w:styleId="TOC5">
    <w:name w:val="toc 5"/>
    <w:basedOn w:val="Normal"/>
    <w:next w:val="Normal"/>
    <w:autoRedefine/>
    <w:uiPriority w:val="97"/>
    <w:semiHidden/>
    <w:rsid w:val="00C63303"/>
    <w:pPr>
      <w:spacing w:after="100"/>
      <w:ind w:left="800"/>
    </w:pPr>
  </w:style>
  <w:style w:type="paragraph" w:styleId="TOC6">
    <w:name w:val="toc 6"/>
    <w:basedOn w:val="Normal"/>
    <w:next w:val="Normal"/>
    <w:autoRedefine/>
    <w:uiPriority w:val="97"/>
    <w:semiHidden/>
    <w:rsid w:val="00C63303"/>
    <w:pPr>
      <w:spacing w:after="100"/>
      <w:ind w:left="1000"/>
    </w:pPr>
  </w:style>
  <w:style w:type="paragraph" w:styleId="TOC7">
    <w:name w:val="toc 7"/>
    <w:basedOn w:val="Normal"/>
    <w:next w:val="Normal"/>
    <w:autoRedefine/>
    <w:uiPriority w:val="97"/>
    <w:semiHidden/>
    <w:rsid w:val="00C63303"/>
    <w:pPr>
      <w:spacing w:after="100"/>
      <w:ind w:left="1200"/>
    </w:pPr>
  </w:style>
  <w:style w:type="paragraph" w:styleId="TOC8">
    <w:name w:val="toc 8"/>
    <w:basedOn w:val="Normal"/>
    <w:next w:val="Normal"/>
    <w:autoRedefine/>
    <w:uiPriority w:val="97"/>
    <w:semiHidden/>
    <w:rsid w:val="00C63303"/>
    <w:pPr>
      <w:spacing w:after="100"/>
      <w:ind w:left="1400"/>
    </w:pPr>
  </w:style>
  <w:style w:type="paragraph" w:styleId="TOC9">
    <w:name w:val="toc 9"/>
    <w:basedOn w:val="Normal"/>
    <w:next w:val="Normal"/>
    <w:autoRedefine/>
    <w:uiPriority w:val="97"/>
    <w:semiHidden/>
    <w:rsid w:val="00C63303"/>
    <w:pPr>
      <w:spacing w:after="100"/>
      <w:ind w:left="1600"/>
    </w:pPr>
  </w:style>
  <w:style w:type="paragraph" w:styleId="TOCHeading">
    <w:name w:val="TOC Heading"/>
    <w:basedOn w:val="Headline"/>
    <w:next w:val="Normal"/>
    <w:uiPriority w:val="97"/>
    <w:rsid w:val="008A0B9B"/>
    <w:pPr>
      <w:framePr w:h="1418" w:hRule="exact" w:wrap="around"/>
      <w:pBdr>
        <w:top w:val="none" w:sz="0" w:space="0" w:color="auto"/>
        <w:bottom w:val="none" w:sz="0" w:space="0" w:color="auto"/>
      </w:pBdr>
    </w:pPr>
    <w:rPr>
      <w:rFonts w:asciiTheme="majorHAnsi" w:hAnsiTheme="majorHAnsi"/>
      <w:b/>
      <w:caps w:val="0"/>
      <w:color w:val="15397F" w:themeColor="background2"/>
    </w:rPr>
  </w:style>
  <w:style w:type="table" w:customStyle="1" w:styleId="LayoutGrid">
    <w:name w:val="Layout Grid"/>
    <w:basedOn w:val="TableNormal"/>
    <w:uiPriority w:val="99"/>
    <w:rsid w:val="00EE3284"/>
    <w:rPr>
      <w:rFonts w:asciiTheme="minorHAnsi" w:hAnsiTheme="minorHAnsi"/>
    </w:rPr>
    <w:tblPr>
      <w:tblInd w:w="0" w:type="dxa"/>
      <w:tblCellMar>
        <w:top w:w="0" w:type="dxa"/>
        <w:left w:w="0" w:type="dxa"/>
        <w:bottom w:w="0" w:type="dxa"/>
        <w:right w:w="0" w:type="dxa"/>
      </w:tblCellMar>
    </w:tblPr>
  </w:style>
  <w:style w:type="character" w:customStyle="1" w:styleId="HeaderChar">
    <w:name w:val="Header Char"/>
    <w:basedOn w:val="DefaultParagraphFont"/>
    <w:link w:val="Header"/>
    <w:uiPriority w:val="99"/>
    <w:rsid w:val="008E6B3E"/>
    <w:rPr>
      <w:rFonts w:asciiTheme="minorHAnsi" w:eastAsia="MS Mincho" w:hAnsiTheme="minorHAnsi"/>
      <w:caps/>
      <w:color w:val="2C2A29" w:themeColor="text2"/>
      <w:kern w:val="60"/>
      <w:sz w:val="13"/>
      <w:lang w:val="en-AU" w:eastAsia="ja-JP"/>
    </w:rPr>
  </w:style>
  <w:style w:type="paragraph" w:customStyle="1" w:styleId="SectionHeading">
    <w:name w:val="Section Heading"/>
    <w:basedOn w:val="Normal"/>
    <w:next w:val="Normal"/>
    <w:qFormat/>
    <w:rsid w:val="003970BC"/>
    <w:pPr>
      <w:framePr w:w="10206" w:h="1452" w:hRule="exact" w:vSpace="284" w:wrap="around" w:vAnchor="text" w:hAnchor="text" w:y="1" w:anchorLock="1"/>
      <w:spacing w:after="0" w:line="240" w:lineRule="auto"/>
      <w:contextualSpacing/>
    </w:pPr>
    <w:rPr>
      <w:rFonts w:asciiTheme="majorHAnsi" w:hAnsiTheme="majorHAnsi"/>
      <w:b/>
      <w:color w:val="15397F" w:themeColor="background2"/>
      <w:sz w:val="48"/>
    </w:rPr>
  </w:style>
  <w:style w:type="paragraph" w:customStyle="1" w:styleId="Headline">
    <w:name w:val="Headline"/>
    <w:basedOn w:val="Normal"/>
    <w:next w:val="Normal"/>
    <w:semiHidden/>
    <w:qFormat/>
    <w:rsid w:val="008112BE"/>
    <w:pPr>
      <w:framePr w:w="10206" w:h="1758" w:hRule="exact" w:vSpace="284" w:wrap="around" w:vAnchor="text" w:hAnchor="text" w:y="1"/>
      <w:pBdr>
        <w:top w:val="dotted" w:sz="12" w:space="15" w:color="2C2A29" w:themeColor="text2"/>
        <w:bottom w:val="dotted" w:sz="12" w:space="0" w:color="2C2A29" w:themeColor="text2"/>
      </w:pBdr>
      <w:spacing w:after="0" w:line="240" w:lineRule="auto"/>
    </w:pPr>
    <w:rPr>
      <w:caps/>
      <w:sz w:val="50"/>
    </w:rPr>
  </w:style>
  <w:style w:type="paragraph" w:styleId="TOC2">
    <w:name w:val="toc 2"/>
    <w:basedOn w:val="Normal"/>
    <w:next w:val="Normal"/>
    <w:uiPriority w:val="39"/>
    <w:unhideWhenUsed/>
    <w:rsid w:val="00674D57"/>
    <w:pPr>
      <w:tabs>
        <w:tab w:val="right" w:pos="4820"/>
      </w:tabs>
      <w:ind w:left="340" w:right="1134"/>
    </w:pPr>
  </w:style>
  <w:style w:type="paragraph" w:customStyle="1" w:styleId="HeaderTitle">
    <w:name w:val="Header Title"/>
    <w:basedOn w:val="Header"/>
    <w:qFormat/>
    <w:rsid w:val="009774F9"/>
    <w:rPr>
      <w:b/>
      <w:caps w:val="0"/>
      <w:sz w:val="24"/>
    </w:rPr>
  </w:style>
  <w:style w:type="numbering" w:customStyle="1" w:styleId="ListBullets">
    <w:name w:val="ListBullets"/>
    <w:uiPriority w:val="99"/>
    <w:rsid w:val="0001409F"/>
    <w:pPr>
      <w:numPr>
        <w:numId w:val="12"/>
      </w:numPr>
    </w:pPr>
  </w:style>
  <w:style w:type="paragraph" w:customStyle="1" w:styleId="Heading1-Numbered">
    <w:name w:val="Heading 1 - Numbered"/>
    <w:basedOn w:val="Heading1"/>
    <w:next w:val="Normal"/>
    <w:qFormat/>
    <w:rsid w:val="00E1457C"/>
    <w:pPr>
      <w:numPr>
        <w:numId w:val="15"/>
      </w:numPr>
      <w:tabs>
        <w:tab w:val="clear" w:pos="1077"/>
      </w:tabs>
    </w:pPr>
  </w:style>
  <w:style w:type="paragraph" w:customStyle="1" w:styleId="Heading2-Numbered">
    <w:name w:val="Heading 2 - Numbered"/>
    <w:basedOn w:val="Heading2"/>
    <w:next w:val="Normal"/>
    <w:qFormat/>
    <w:rsid w:val="00E1457C"/>
    <w:pPr>
      <w:numPr>
        <w:ilvl w:val="1"/>
        <w:numId w:val="15"/>
      </w:numPr>
    </w:pPr>
  </w:style>
  <w:style w:type="paragraph" w:customStyle="1" w:styleId="Heading3-Numbered">
    <w:name w:val="Heading 3 - Numbered"/>
    <w:basedOn w:val="Heading3"/>
    <w:next w:val="Normal"/>
    <w:qFormat/>
    <w:rsid w:val="00E1457C"/>
    <w:pPr>
      <w:numPr>
        <w:ilvl w:val="2"/>
        <w:numId w:val="15"/>
      </w:numPr>
    </w:pPr>
  </w:style>
  <w:style w:type="numbering" w:customStyle="1" w:styleId="NubmeredHeadings">
    <w:name w:val="Nubmered Headings"/>
    <w:uiPriority w:val="99"/>
    <w:rsid w:val="00E1457C"/>
    <w:pPr>
      <w:numPr>
        <w:numId w:val="14"/>
      </w:numPr>
    </w:pPr>
  </w:style>
  <w:style w:type="paragraph" w:customStyle="1" w:styleId="TableColumn">
    <w:name w:val="Table Column"/>
    <w:basedOn w:val="TableText"/>
    <w:qFormat/>
    <w:rsid w:val="002F792A"/>
    <w:rPr>
      <w:b/>
    </w:rPr>
  </w:style>
  <w:style w:type="table" w:customStyle="1" w:styleId="PlaceholderGrid">
    <w:name w:val="Placeholder Grid"/>
    <w:basedOn w:val="TableNormal"/>
    <w:uiPriority w:val="99"/>
    <w:rsid w:val="00630F96"/>
    <w:tblPr>
      <w:tblInd w:w="227" w:type="dxa"/>
      <w:tblCellMar>
        <w:top w:w="227" w:type="dxa"/>
        <w:left w:w="227" w:type="dxa"/>
        <w:bottom w:w="57" w:type="dxa"/>
        <w:right w:w="227" w:type="dxa"/>
      </w:tblCellMar>
    </w:tblPr>
    <w:tcPr>
      <w:shd w:val="clear" w:color="auto" w:fill="E6E6E6"/>
    </w:tcPr>
  </w:style>
  <w:style w:type="paragraph" w:customStyle="1" w:styleId="PullOutText">
    <w:name w:val="PullOut Text"/>
    <w:basedOn w:val="Normal"/>
    <w:qFormat/>
    <w:rsid w:val="00835336"/>
    <w:pPr>
      <w:framePr w:hSpace="181" w:vSpace="170" w:wrap="around" w:vAnchor="text" w:hAnchor="page" w:x="852" w:y="-56"/>
      <w:suppressOverlap/>
    </w:pPr>
    <w:rPr>
      <w:noProof/>
    </w:rPr>
  </w:style>
  <w:style w:type="paragraph" w:customStyle="1" w:styleId="PullOutHeading">
    <w:name w:val="PullOut Heading"/>
    <w:basedOn w:val="PullOutText"/>
    <w:next w:val="PullOutText"/>
    <w:qFormat/>
    <w:rsid w:val="008A0B9B"/>
    <w:pPr>
      <w:framePr w:wrap="around"/>
      <w:spacing w:after="120"/>
    </w:pPr>
    <w:rPr>
      <w:rFonts w:asciiTheme="majorHAnsi" w:hAnsiTheme="majorHAnsi"/>
      <w:b/>
      <w:sz w:val="28"/>
    </w:rPr>
  </w:style>
  <w:style w:type="paragraph" w:customStyle="1" w:styleId="PullOutNumber">
    <w:name w:val="PullOut Number"/>
    <w:basedOn w:val="PullOutText"/>
    <w:qFormat/>
    <w:rsid w:val="00835336"/>
    <w:pPr>
      <w:framePr w:wrap="around"/>
      <w:numPr>
        <w:numId w:val="20"/>
      </w:numPr>
    </w:pPr>
  </w:style>
  <w:style w:type="numbering" w:customStyle="1" w:styleId="PullOutList">
    <w:name w:val="PullOutList"/>
    <w:uiPriority w:val="99"/>
    <w:rsid w:val="00835336"/>
    <w:pPr>
      <w:numPr>
        <w:numId w:val="20"/>
      </w:numPr>
    </w:pPr>
  </w:style>
  <w:style w:type="paragraph" w:customStyle="1" w:styleId="Disclaimer">
    <w:name w:val="Disclaimer"/>
    <w:basedOn w:val="Normal"/>
    <w:qFormat/>
    <w:rsid w:val="002F792A"/>
    <w:pPr>
      <w:spacing w:line="180" w:lineRule="atLeast"/>
    </w:pPr>
    <w:rPr>
      <w:sz w:val="16"/>
    </w:rPr>
  </w:style>
  <w:style w:type="paragraph" w:customStyle="1" w:styleId="DisclaimerHeading">
    <w:name w:val="Disclaimer Heading"/>
    <w:basedOn w:val="Disclaimer"/>
    <w:next w:val="Disclaimer"/>
    <w:qFormat/>
    <w:rsid w:val="002F792A"/>
    <w:pPr>
      <w:framePr w:hSpace="181" w:vSpace="567" w:wrap="around" w:vAnchor="page" w:hAnchor="page" w:x="852" w:yAlign="bottom"/>
      <w:spacing w:after="180"/>
      <w:suppressOverlap/>
    </w:pPr>
    <w:rPr>
      <w:b/>
    </w:rPr>
  </w:style>
  <w:style w:type="table" w:customStyle="1" w:styleId="TransurbanTable">
    <w:name w:val="Transurban Table"/>
    <w:basedOn w:val="TableNormal"/>
    <w:uiPriority w:val="99"/>
    <w:rsid w:val="00022E12"/>
    <w:rPr>
      <w:rFonts w:ascii="Gotham Book" w:hAnsi="Gotham Book"/>
      <w:color w:val="FFFFFF" w:themeColor="background1"/>
      <w:sz w:val="16"/>
    </w:rPr>
    <w:tblPr>
      <w:tblInd w:w="108" w:type="dxa"/>
      <w:tblBorders>
        <w:insideH w:val="single" w:sz="18" w:space="0" w:color="FFFFFF" w:themeColor="background1"/>
        <w:insideV w:val="single" w:sz="18" w:space="0" w:color="FFFFFF" w:themeColor="background1"/>
      </w:tblBorders>
      <w:tblCellMar>
        <w:top w:w="0" w:type="dxa"/>
        <w:left w:w="108" w:type="dxa"/>
        <w:bottom w:w="0" w:type="dxa"/>
        <w:right w:w="108" w:type="dxa"/>
      </w:tblCellMar>
    </w:tblPr>
    <w:tcPr>
      <w:shd w:val="clear" w:color="auto" w:fill="4DA7A1"/>
    </w:tcPr>
    <w:tblStylePr w:type="firstRow">
      <w:rPr>
        <w:rFonts w:ascii="Gotham Medium" w:hAnsi="Gotham Medium"/>
        <w:sz w:val="16"/>
      </w:rPr>
      <w:tblPr/>
      <w:tcPr>
        <w:shd w:val="clear" w:color="auto" w:fill="008179"/>
      </w:tcPr>
    </w:tblStylePr>
    <w:tblStylePr w:type="firstCol">
      <w:rPr>
        <w:rFonts w:ascii="Gotham Medium" w:hAnsi="Gotham Medium"/>
        <w:color w:val="FFFFFF" w:themeColor="background1"/>
      </w:rPr>
      <w:tblPr/>
      <w:tcPr>
        <w:shd w:val="clear" w:color="auto" w:fill="008179"/>
      </w:tcPr>
    </w:tblStylePr>
  </w:style>
  <w:style w:type="paragraph" w:customStyle="1" w:styleId="Footnotes">
    <w:name w:val="Footnotes"/>
    <w:basedOn w:val="Normal"/>
    <w:uiPriority w:val="99"/>
    <w:rsid w:val="0014781B"/>
    <w:pPr>
      <w:suppressAutoHyphens/>
      <w:autoSpaceDE w:val="0"/>
      <w:autoSpaceDN w:val="0"/>
      <w:snapToGrid/>
      <w:spacing w:after="0" w:line="288" w:lineRule="auto"/>
      <w:ind w:left="227" w:hanging="227"/>
      <w:textAlignment w:val="center"/>
    </w:pPr>
    <w:rPr>
      <w:rFonts w:eastAsia="SimSun" w:cs="Gotham Book"/>
      <w:color w:val="000000"/>
      <w:sz w:val="16"/>
      <w:szCs w:val="16"/>
      <w:lang w:eastAsia="en-GB"/>
    </w:rPr>
  </w:style>
  <w:style w:type="paragraph" w:customStyle="1" w:styleId="SectionHeadingNonToC">
    <w:name w:val="Section Heading Non ToC"/>
    <w:basedOn w:val="SectionHeading"/>
    <w:qFormat/>
    <w:rsid w:val="00325A69"/>
    <w:pPr>
      <w:framePr w:wrap="around"/>
    </w:pPr>
  </w:style>
  <w:style w:type="paragraph" w:customStyle="1" w:styleId="BasicParagraph">
    <w:name w:val="[Basic Paragraph]"/>
    <w:basedOn w:val="Normal"/>
    <w:uiPriority w:val="99"/>
    <w:rsid w:val="00744FA1"/>
    <w:pPr>
      <w:autoSpaceDE w:val="0"/>
      <w:autoSpaceDN w:val="0"/>
      <w:snapToGrid/>
      <w:spacing w:after="0" w:line="288" w:lineRule="auto"/>
      <w:textAlignment w:val="center"/>
    </w:pPr>
    <w:rPr>
      <w:rFonts w:ascii="Times Regular" w:eastAsia="SimSun" w:hAnsi="Times Regular" w:cs="Times Regular"/>
      <w:color w:val="000000"/>
      <w:sz w:val="24"/>
      <w:szCs w:val="24"/>
      <w:lang w:val="en-US" w:eastAsia="en-GB"/>
    </w:rPr>
  </w:style>
  <w:style w:type="paragraph" w:customStyle="1" w:styleId="Heading1NonToC">
    <w:name w:val="Heading 1 Non ToC"/>
    <w:basedOn w:val="Heading1"/>
    <w:qFormat/>
    <w:rsid w:val="004F70AB"/>
  </w:style>
  <w:style w:type="character" w:customStyle="1" w:styleId="A8">
    <w:name w:val="A8"/>
    <w:uiPriority w:val="99"/>
    <w:rsid w:val="00744FA1"/>
    <w:rPr>
      <w:rFonts w:cs="Gotham Light"/>
      <w:color w:val="FFFFF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8"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lsdException w:name="heading 7" w:uiPriority="1"/>
    <w:lsdException w:name="heading 8" w:uiPriority="1"/>
    <w:lsdException w:name="heading 9" w:uiPriority="1"/>
    <w:lsdException w:name="index 1" w:uiPriority="97"/>
    <w:lsdException w:name="index 2" w:uiPriority="97"/>
    <w:lsdException w:name="index 3" w:uiPriority="97"/>
    <w:lsdException w:name="index 4" w:uiPriority="97"/>
    <w:lsdException w:name="index 5" w:uiPriority="97"/>
    <w:lsdException w:name="index 6" w:uiPriority="97"/>
    <w:lsdException w:name="index 7" w:uiPriority="97"/>
    <w:lsdException w:name="index 8" w:uiPriority="97"/>
    <w:lsdException w:name="index 9" w:uiPriority="97"/>
    <w:lsdException w:name="toc 1" w:uiPriority="39"/>
    <w:lsdException w:name="toc 2" w:uiPriority="39"/>
    <w:lsdException w:name="toc 3" w:uiPriority="39"/>
    <w:lsdException w:name="toc 4" w:uiPriority="97"/>
    <w:lsdException w:name="toc 5" w:uiPriority="97"/>
    <w:lsdException w:name="toc 6" w:uiPriority="97"/>
    <w:lsdException w:name="toc 7" w:uiPriority="97"/>
    <w:lsdException w:name="toc 8" w:uiPriority="97"/>
    <w:lsdException w:name="toc 9" w:uiPriority="97"/>
    <w:lsdException w:name="Normal Indent" w:uiPriority="0"/>
    <w:lsdException w:name="footnote text" w:uiPriority="97"/>
    <w:lsdException w:name="annotation text" w:uiPriority="97"/>
    <w:lsdException w:name="header" w:uiPriority="99"/>
    <w:lsdException w:name="footer" w:uiPriority="9"/>
    <w:lsdException w:name="index heading" w:uiPriority="97"/>
    <w:lsdException w:name="caption" w:uiPriority="11" w:qFormat="1"/>
    <w:lsdException w:name="table of figures" w:uiPriority="97"/>
    <w:lsdException w:name="envelope address" w:uiPriority="97"/>
    <w:lsdException w:name="envelope return" w:uiPriority="97"/>
    <w:lsdException w:name="footnote reference" w:uiPriority="97"/>
    <w:lsdException w:name="annotation reference" w:uiPriority="97"/>
    <w:lsdException w:name="line number" w:uiPriority="97"/>
    <w:lsdException w:name="page number" w:uiPriority="97"/>
    <w:lsdException w:name="endnote reference" w:uiPriority="97"/>
    <w:lsdException w:name="endnote text" w:uiPriority="97"/>
    <w:lsdException w:name="table of authorities" w:uiPriority="97"/>
    <w:lsdException w:name="macro" w:uiPriority="97"/>
    <w:lsdException w:name="toa heading" w:uiPriority="97"/>
    <w:lsdException w:name="List" w:uiPriority="4"/>
    <w:lsdException w:name="List Bullet" w:uiPriority="2" w:qFormat="1"/>
    <w:lsdException w:name="List Number" w:semiHidden="0" w:uiPriority="3" w:unhideWhenUsed="0" w:qFormat="1"/>
    <w:lsdException w:name="List 2" w:uiPriority="4"/>
    <w:lsdException w:name="List 3" w:uiPriority="4"/>
    <w:lsdException w:name="List 4" w:semiHidden="0" w:uiPriority="4" w:unhideWhenUsed="0"/>
    <w:lsdException w:name="List 5" w:uiPriority="4" w:unhideWhenUsed="0"/>
    <w:lsdException w:name="List Bullet 2" w:uiPriority="2" w:qFormat="1"/>
    <w:lsdException w:name="List Bullet 3" w:uiPriority="2"/>
    <w:lsdException w:name="List Bullet 4" w:uiPriority="2"/>
    <w:lsdException w:name="List Bullet 5" w:uiPriority="2"/>
    <w:lsdException w:name="List Number 2" w:uiPriority="3" w:qFormat="1"/>
    <w:lsdException w:name="List Number 3" w:uiPriority="3"/>
    <w:lsdException w:name="List Number 4" w:uiPriority="3"/>
    <w:lsdException w:name="List Number 5" w:uiPriority="3"/>
    <w:lsdException w:name="Title" w:semiHidden="0" w:uiPriority="97" w:unhideWhenUsed="0"/>
    <w:lsdException w:name="Closing" w:uiPriority="97"/>
    <w:lsdException w:name="Signature" w:uiPriority="97"/>
    <w:lsdException w:name="Default Paragraph Font" w:uiPriority="97"/>
    <w:lsdException w:name="Body Text" w:uiPriority="97"/>
    <w:lsdException w:name="Body Text Indent" w:uiPriority="97"/>
    <w:lsdException w:name="List Continue" w:uiPriority="10"/>
    <w:lsdException w:name="List Continue 2" w:uiPriority="10"/>
    <w:lsdException w:name="List Continue 3" w:uiPriority="10"/>
    <w:lsdException w:name="List Continue 4" w:uiPriority="10"/>
    <w:lsdException w:name="List Continue 5" w:uiPriority="10"/>
    <w:lsdException w:name="Message Header" w:uiPriority="97"/>
    <w:lsdException w:name="Subtitle" w:semiHidden="0" w:uiPriority="97" w:unhideWhenUsed="0"/>
    <w:lsdException w:name="Salutation" w:semiHidden="0" w:uiPriority="97" w:unhideWhenUsed="0"/>
    <w:lsdException w:name="Date" w:semiHidden="0" w:uiPriority="97" w:unhideWhenUsed="0"/>
    <w:lsdException w:name="Body Text First Indent" w:semiHidden="0" w:uiPriority="97" w:unhideWhenUsed="0"/>
    <w:lsdException w:name="Body Text First Indent 2" w:uiPriority="97"/>
    <w:lsdException w:name="Note Heading" w:uiPriority="97"/>
    <w:lsdException w:name="Body Text 2" w:uiPriority="97"/>
    <w:lsdException w:name="Body Text 3" w:uiPriority="97"/>
    <w:lsdException w:name="Body Text Indent 2" w:uiPriority="97"/>
    <w:lsdException w:name="Body Text Indent 3" w:uiPriority="97"/>
    <w:lsdException w:name="Block Text" w:uiPriority="97"/>
    <w:lsdException w:name="Hyperlink" w:uiPriority="97"/>
    <w:lsdException w:name="FollowedHyperlink" w:uiPriority="97"/>
    <w:lsdException w:name="Strong" w:semiHidden="0" w:uiPriority="97" w:unhideWhenUsed="0"/>
    <w:lsdException w:name="Emphasis" w:semiHidden="0" w:uiPriority="97" w:unhideWhenUsed="0"/>
    <w:lsdException w:name="Document Map" w:uiPriority="97"/>
    <w:lsdException w:name="Plain Text" w:uiPriority="97"/>
    <w:lsdException w:name="E-mail Signature" w:uiPriority="97"/>
    <w:lsdException w:name="HTML Top of Form" w:uiPriority="0"/>
    <w:lsdException w:name="HTML Bottom of Form" w:uiPriority="0"/>
    <w:lsdException w:name="Normal (Web)" w:uiPriority="0"/>
    <w:lsdException w:name="HTML Acronym" w:uiPriority="97"/>
    <w:lsdException w:name="HTML Address" w:uiPriority="97"/>
    <w:lsdException w:name="HTML Cite" w:uiPriority="97"/>
    <w:lsdException w:name="HTML Code" w:uiPriority="97"/>
    <w:lsdException w:name="HTML Definition" w:uiPriority="97"/>
    <w:lsdException w:name="HTML Keyboard" w:uiPriority="97"/>
    <w:lsdException w:name="HTML Preformatted" w:uiPriority="97"/>
    <w:lsdException w:name="HTML Sample" w:uiPriority="97"/>
    <w:lsdException w:name="HTML Typewriter" w:uiPriority="97"/>
    <w:lsdException w:name="HTML Variable" w:uiPriority="97"/>
    <w:lsdException w:name="annotation subject" w:uiPriority="97"/>
    <w:lsdException w:name="No List" w:uiPriority="97"/>
    <w:lsdException w:name="Outline List 1" w:uiPriority="97"/>
    <w:lsdException w:name="Outline List 2" w:uiPriority="97"/>
    <w:lsdException w:name="Outline List 3" w:uiPriority="97"/>
    <w:lsdException w:name="Balloon Text" w:uiPriority="97"/>
    <w:lsdException w:name="Table Grid" w:semiHidden="0" w:unhideWhenUsed="0"/>
    <w:lsdException w:name="Placeholder Text" w:uiPriority="11" w:unhideWhenUsed="0"/>
    <w:lsdException w:name="No Spacing" w:semiHidden="0" w:uiPriority="97"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4" w:unhideWhenUsed="0"/>
    <w:lsdException w:name="Quote" w:semiHidden="0" w:uiPriority="97" w:unhideWhenUsed="0"/>
    <w:lsdException w:name="Intense Quote" w:semiHidden="0" w:uiPriority="97"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97" w:unhideWhenUsed="0"/>
    <w:lsdException w:name="Intense Emphasis" w:semiHidden="0" w:uiPriority="97" w:unhideWhenUsed="0"/>
    <w:lsdException w:name="Subtle Reference" w:semiHidden="0" w:uiPriority="97" w:unhideWhenUsed="0"/>
    <w:lsdException w:name="Intense Reference" w:semiHidden="0" w:uiPriority="97" w:unhideWhenUsed="0"/>
    <w:lsdException w:name="Book Title" w:semiHidden="0" w:uiPriority="97" w:unhideWhenUsed="0"/>
    <w:lsdException w:name="Bibliography" w:uiPriority="97"/>
    <w:lsdException w:name="TOC Heading" w:uiPriority="97"/>
  </w:latentStyles>
  <w:style w:type="paragraph" w:default="1" w:styleId="Normal">
    <w:name w:val="Normal"/>
    <w:qFormat/>
    <w:rsid w:val="001D3E1C"/>
    <w:pPr>
      <w:adjustRightInd w:val="0"/>
      <w:snapToGrid w:val="0"/>
      <w:spacing w:after="170" w:line="260" w:lineRule="atLeast"/>
    </w:pPr>
    <w:rPr>
      <w:rFonts w:asciiTheme="minorHAnsi" w:eastAsia="MS Mincho" w:hAnsiTheme="minorHAnsi"/>
      <w:color w:val="2C2A29" w:themeColor="text2"/>
      <w:lang w:val="en-AU" w:eastAsia="ja-JP"/>
    </w:rPr>
  </w:style>
  <w:style w:type="paragraph" w:styleId="Heading1">
    <w:name w:val="heading 1"/>
    <w:basedOn w:val="Normal"/>
    <w:next w:val="Normal"/>
    <w:uiPriority w:val="1"/>
    <w:qFormat/>
    <w:rsid w:val="00EE2D7C"/>
    <w:pPr>
      <w:keepNext/>
      <w:tabs>
        <w:tab w:val="left" w:pos="1077"/>
      </w:tabs>
      <w:spacing w:after="220"/>
      <w:contextualSpacing/>
      <w:outlineLvl w:val="0"/>
    </w:pPr>
    <w:rPr>
      <w:rFonts w:asciiTheme="majorHAnsi" w:hAnsiTheme="majorHAnsi" w:cstheme="majorHAnsi"/>
      <w:b/>
      <w:bCs/>
      <w:kern w:val="32"/>
      <w:sz w:val="28"/>
      <w:szCs w:val="32"/>
    </w:rPr>
  </w:style>
  <w:style w:type="paragraph" w:styleId="Heading2">
    <w:name w:val="heading 2"/>
    <w:basedOn w:val="Normal"/>
    <w:next w:val="Normal"/>
    <w:uiPriority w:val="1"/>
    <w:qFormat/>
    <w:rsid w:val="00E4723C"/>
    <w:pPr>
      <w:keepNext/>
      <w:spacing w:after="220"/>
      <w:contextualSpacing/>
      <w:outlineLvl w:val="1"/>
    </w:pPr>
    <w:rPr>
      <w:rFonts w:asciiTheme="majorHAnsi" w:hAnsiTheme="majorHAnsi" w:cstheme="majorHAnsi"/>
      <w:b/>
      <w:bCs/>
      <w:iCs/>
      <w:color w:val="15397F" w:themeColor="background2"/>
      <w:sz w:val="24"/>
      <w:szCs w:val="28"/>
    </w:rPr>
  </w:style>
  <w:style w:type="paragraph" w:styleId="Heading3">
    <w:name w:val="heading 3"/>
    <w:basedOn w:val="Normal"/>
    <w:next w:val="Normal"/>
    <w:uiPriority w:val="1"/>
    <w:qFormat/>
    <w:rsid w:val="00E4723C"/>
    <w:pPr>
      <w:keepNext/>
      <w:spacing w:after="120"/>
      <w:contextualSpacing/>
      <w:outlineLvl w:val="2"/>
    </w:pPr>
    <w:rPr>
      <w:rFonts w:asciiTheme="majorHAnsi" w:hAnsiTheme="majorHAnsi" w:cstheme="majorHAnsi"/>
      <w:b/>
      <w:bCs/>
      <w:szCs w:val="26"/>
    </w:rPr>
  </w:style>
  <w:style w:type="paragraph" w:styleId="Heading4">
    <w:name w:val="heading 4"/>
    <w:basedOn w:val="Normal"/>
    <w:next w:val="Normal"/>
    <w:uiPriority w:val="1"/>
    <w:semiHidden/>
    <w:qFormat/>
    <w:rsid w:val="00C63303"/>
    <w:pPr>
      <w:keepNext/>
      <w:spacing w:before="113" w:after="0" w:line="216" w:lineRule="atLeast"/>
      <w:outlineLvl w:val="3"/>
    </w:pPr>
    <w:rPr>
      <w:rFonts w:asciiTheme="majorHAnsi" w:hAnsiTheme="majorHAnsi" w:cstheme="majorHAnsi"/>
      <w:b/>
      <w:bCs/>
      <w:szCs w:val="28"/>
    </w:rPr>
  </w:style>
  <w:style w:type="paragraph" w:styleId="Heading5">
    <w:name w:val="heading 5"/>
    <w:basedOn w:val="Normal"/>
    <w:next w:val="Normal"/>
    <w:uiPriority w:val="1"/>
    <w:semiHidden/>
    <w:qFormat/>
    <w:rsid w:val="00C63303"/>
    <w:pPr>
      <w:spacing w:before="240" w:after="60"/>
      <w:outlineLvl w:val="4"/>
    </w:pPr>
    <w:rPr>
      <w:rFonts w:asciiTheme="majorHAnsi" w:hAnsiTheme="majorHAnsi" w:cstheme="majorHAnsi"/>
      <w:b/>
      <w:bCs/>
      <w:i/>
      <w:iCs/>
      <w:sz w:val="16"/>
      <w:szCs w:val="26"/>
    </w:rPr>
  </w:style>
  <w:style w:type="paragraph" w:styleId="Heading6">
    <w:name w:val="heading 6"/>
    <w:basedOn w:val="Normal"/>
    <w:next w:val="Normal"/>
    <w:uiPriority w:val="1"/>
    <w:semiHidden/>
    <w:rsid w:val="00C63303"/>
    <w:pPr>
      <w:spacing w:before="240" w:after="60"/>
      <w:outlineLvl w:val="5"/>
    </w:pPr>
    <w:rPr>
      <w:rFonts w:asciiTheme="majorHAnsi" w:hAnsiTheme="majorHAnsi" w:cstheme="majorHAnsi"/>
      <w:b/>
      <w:bCs/>
      <w:sz w:val="16"/>
      <w:szCs w:val="22"/>
    </w:rPr>
  </w:style>
  <w:style w:type="paragraph" w:styleId="Heading7">
    <w:name w:val="heading 7"/>
    <w:basedOn w:val="Normal"/>
    <w:next w:val="Normal"/>
    <w:uiPriority w:val="1"/>
    <w:semiHidden/>
    <w:rsid w:val="00C63303"/>
    <w:pPr>
      <w:spacing w:before="240" w:after="60"/>
      <w:outlineLvl w:val="6"/>
    </w:pPr>
    <w:rPr>
      <w:rFonts w:asciiTheme="majorHAnsi" w:hAnsiTheme="majorHAnsi" w:cstheme="majorHAnsi"/>
      <w:sz w:val="24"/>
    </w:rPr>
  </w:style>
  <w:style w:type="paragraph" w:styleId="Heading8">
    <w:name w:val="heading 8"/>
    <w:basedOn w:val="Normal"/>
    <w:next w:val="Normal"/>
    <w:uiPriority w:val="1"/>
    <w:semiHidden/>
    <w:rsid w:val="00C63303"/>
    <w:pPr>
      <w:spacing w:before="240" w:after="60"/>
      <w:outlineLvl w:val="7"/>
    </w:pPr>
    <w:rPr>
      <w:rFonts w:asciiTheme="majorHAnsi" w:hAnsiTheme="majorHAnsi" w:cstheme="majorHAnsi"/>
      <w:i/>
      <w:iCs/>
      <w:sz w:val="24"/>
    </w:rPr>
  </w:style>
  <w:style w:type="paragraph" w:styleId="Heading9">
    <w:name w:val="heading 9"/>
    <w:basedOn w:val="Normal"/>
    <w:next w:val="Normal"/>
    <w:uiPriority w:val="1"/>
    <w:semiHidden/>
    <w:rsid w:val="00C63303"/>
    <w:pPr>
      <w:spacing w:before="240"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11"/>
    <w:qFormat/>
    <w:rsid w:val="002F792A"/>
    <w:pPr>
      <w:spacing w:line="240" w:lineRule="auto"/>
      <w:contextualSpacing/>
    </w:pPr>
    <w:rPr>
      <w:bCs/>
      <w:kern w:val="60"/>
      <w:sz w:val="12"/>
    </w:rPr>
  </w:style>
  <w:style w:type="paragraph" w:styleId="TOC1">
    <w:name w:val="toc 1"/>
    <w:basedOn w:val="Normal"/>
    <w:next w:val="Normal"/>
    <w:uiPriority w:val="39"/>
    <w:rsid w:val="00E00EF9"/>
    <w:pPr>
      <w:tabs>
        <w:tab w:val="right" w:pos="4820"/>
      </w:tabs>
      <w:ind w:right="1134"/>
    </w:pPr>
    <w:rPr>
      <w:b/>
      <w:noProof/>
    </w:rPr>
  </w:style>
  <w:style w:type="table" w:customStyle="1" w:styleId="SIRATable">
    <w:name w:val="SIRA Table"/>
    <w:basedOn w:val="TableNormal"/>
    <w:uiPriority w:val="99"/>
    <w:rsid w:val="00297724"/>
    <w:rPr>
      <w:rFonts w:ascii="Gotham Book" w:hAnsi="Gotham Book"/>
      <w:color w:val="FFFFFF" w:themeColor="background1"/>
      <w:sz w:val="16"/>
    </w:rPr>
    <w:tblPr>
      <w:tblInd w:w="108" w:type="dxa"/>
      <w:tblBorders>
        <w:insideH w:val="single" w:sz="18" w:space="0" w:color="FFFFFF" w:themeColor="background1"/>
        <w:insideV w:val="single" w:sz="18" w:space="0" w:color="FFFFFF" w:themeColor="background1"/>
      </w:tblBorders>
      <w:tblCellMar>
        <w:top w:w="0" w:type="dxa"/>
        <w:left w:w="108" w:type="dxa"/>
        <w:bottom w:w="0" w:type="dxa"/>
        <w:right w:w="108" w:type="dxa"/>
      </w:tblCellMar>
    </w:tblPr>
    <w:tcPr>
      <w:shd w:val="clear" w:color="auto" w:fill="4DA7A1"/>
    </w:tcPr>
    <w:tblStylePr w:type="firstRow">
      <w:rPr>
        <w:rFonts w:ascii="Gotham Medium" w:hAnsi="Gotham Medium"/>
        <w:sz w:val="16"/>
      </w:rPr>
      <w:tblPr/>
      <w:tcPr>
        <w:shd w:val="clear" w:color="auto" w:fill="008179"/>
      </w:tcPr>
    </w:tblStylePr>
    <w:tblStylePr w:type="firstCol">
      <w:rPr>
        <w:rFonts w:ascii="Gotham Medium" w:hAnsi="Gotham Medium"/>
        <w:color w:val="FFFFFF" w:themeColor="background1"/>
      </w:rPr>
      <w:tblPr/>
      <w:tcPr>
        <w:shd w:val="clear" w:color="auto" w:fill="008179"/>
      </w:tcPr>
    </w:tblStylePr>
  </w:style>
  <w:style w:type="paragraph" w:styleId="Header">
    <w:name w:val="header"/>
    <w:basedOn w:val="Normal"/>
    <w:link w:val="HeaderChar"/>
    <w:uiPriority w:val="99"/>
    <w:rsid w:val="008E6B3E"/>
    <w:pPr>
      <w:tabs>
        <w:tab w:val="center" w:pos="4153"/>
        <w:tab w:val="right" w:pos="8306"/>
      </w:tabs>
      <w:spacing w:after="0" w:line="240" w:lineRule="auto"/>
    </w:pPr>
    <w:rPr>
      <w:caps/>
      <w:kern w:val="60"/>
      <w:sz w:val="13"/>
    </w:rPr>
  </w:style>
  <w:style w:type="paragraph" w:styleId="Footer">
    <w:name w:val="footer"/>
    <w:basedOn w:val="Normal"/>
    <w:uiPriority w:val="9"/>
    <w:rsid w:val="002F792A"/>
    <w:pPr>
      <w:spacing w:after="0" w:line="144" w:lineRule="atLeast"/>
    </w:pPr>
    <w:rPr>
      <w:kern w:val="60"/>
      <w:sz w:val="12"/>
    </w:rPr>
  </w:style>
  <w:style w:type="character" w:styleId="PageNumber">
    <w:name w:val="page number"/>
    <w:basedOn w:val="DefaultParagraphFont"/>
    <w:uiPriority w:val="11"/>
    <w:semiHidden/>
    <w:rsid w:val="00C63303"/>
    <w:rPr>
      <w:rFonts w:asciiTheme="minorHAnsi" w:hAnsiTheme="minorHAnsi" w:cstheme="minorHAnsi"/>
      <w:sz w:val="13"/>
    </w:rPr>
  </w:style>
  <w:style w:type="table" w:styleId="TableGrid">
    <w:name w:val="Table Grid"/>
    <w:basedOn w:val="TableNormal"/>
    <w:uiPriority w:val="98"/>
    <w:rsid w:val="00C63303"/>
    <w:pPr>
      <w:adjustRightInd w:val="0"/>
      <w:snapToGrid w:val="0"/>
    </w:pPr>
    <w:rPr>
      <w:sz w:val="17"/>
    </w:rPr>
    <w:tblPr>
      <w:tblInd w:w="0" w:type="dxa"/>
      <w:tblCellMar>
        <w:top w:w="0" w:type="dxa"/>
        <w:left w:w="0" w:type="dxa"/>
        <w:bottom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ListBullet">
    <w:name w:val="List Bullet"/>
    <w:basedOn w:val="Normal"/>
    <w:uiPriority w:val="2"/>
    <w:rsid w:val="004E2E09"/>
    <w:pPr>
      <w:numPr>
        <w:numId w:val="16"/>
      </w:numPr>
    </w:pPr>
  </w:style>
  <w:style w:type="paragraph" w:styleId="ListNumber">
    <w:name w:val="List Number"/>
    <w:basedOn w:val="Normal"/>
    <w:uiPriority w:val="3"/>
    <w:rsid w:val="004E2E09"/>
    <w:pPr>
      <w:numPr>
        <w:numId w:val="19"/>
      </w:numPr>
    </w:pPr>
  </w:style>
  <w:style w:type="paragraph" w:customStyle="1" w:styleId="CoverDate">
    <w:name w:val="Cover Date"/>
    <w:basedOn w:val="Normal"/>
    <w:uiPriority w:val="11"/>
    <w:rsid w:val="00143AE5"/>
    <w:pPr>
      <w:adjustRightInd/>
      <w:snapToGrid/>
      <w:spacing w:after="0" w:line="240" w:lineRule="auto"/>
    </w:pPr>
    <w:rPr>
      <w:rFonts w:eastAsia="Times New Roman"/>
      <w:b/>
      <w:color w:val="15397F" w:themeColor="background2"/>
      <w:spacing w:val="-3"/>
      <w:sz w:val="32"/>
      <w:lang w:eastAsia="en-AU"/>
    </w:rPr>
  </w:style>
  <w:style w:type="paragraph" w:customStyle="1" w:styleId="CoverDetails">
    <w:name w:val="Cover Details"/>
    <w:basedOn w:val="Normal"/>
    <w:uiPriority w:val="11"/>
    <w:rsid w:val="00EB1AE1"/>
    <w:pPr>
      <w:adjustRightInd/>
      <w:snapToGrid/>
      <w:spacing w:after="0" w:line="216" w:lineRule="auto"/>
    </w:pPr>
    <w:rPr>
      <w:rFonts w:eastAsia="Times New Roman"/>
      <w:spacing w:val="-3"/>
      <w:sz w:val="28"/>
      <w:szCs w:val="28"/>
      <w:lang w:eastAsia="en-AU"/>
    </w:rPr>
  </w:style>
  <w:style w:type="paragraph" w:customStyle="1" w:styleId="CoverHeading">
    <w:name w:val="Cover Heading"/>
    <w:basedOn w:val="Normal"/>
    <w:next w:val="Normal"/>
    <w:uiPriority w:val="11"/>
    <w:rsid w:val="001013D3"/>
    <w:pPr>
      <w:adjustRightInd/>
      <w:snapToGrid/>
      <w:spacing w:after="200" w:line="240" w:lineRule="atLeast"/>
      <w:contextualSpacing/>
    </w:pPr>
    <w:rPr>
      <w:rFonts w:asciiTheme="majorHAnsi" w:eastAsia="Times New Roman" w:hAnsiTheme="majorHAnsi" w:cstheme="majorHAnsi"/>
      <w:b/>
      <w:bCs/>
      <w:color w:val="15397F" w:themeColor="background2"/>
      <w:spacing w:val="-3"/>
      <w:sz w:val="64"/>
      <w:szCs w:val="38"/>
      <w:lang w:eastAsia="en-US"/>
    </w:rPr>
  </w:style>
  <w:style w:type="paragraph" w:customStyle="1" w:styleId="DividerTitle">
    <w:name w:val="Divider Title"/>
    <w:basedOn w:val="Normal"/>
    <w:uiPriority w:val="11"/>
    <w:semiHidden/>
    <w:rsid w:val="00C63303"/>
    <w:pPr>
      <w:spacing w:after="0" w:line="400" w:lineRule="atLeast"/>
    </w:pPr>
    <w:rPr>
      <w:caps/>
      <w:kern w:val="60"/>
      <w:sz w:val="50"/>
    </w:rPr>
  </w:style>
  <w:style w:type="paragraph" w:customStyle="1" w:styleId="DividerIntro">
    <w:name w:val="Divider Intro"/>
    <w:basedOn w:val="Normal"/>
    <w:uiPriority w:val="11"/>
    <w:semiHidden/>
    <w:rsid w:val="00C63303"/>
    <w:pPr>
      <w:spacing w:after="0"/>
    </w:pPr>
    <w:rPr>
      <w:caps/>
      <w:sz w:val="28"/>
    </w:rPr>
  </w:style>
  <w:style w:type="paragraph" w:customStyle="1" w:styleId="CoverSubheading">
    <w:name w:val="Cover Subheading"/>
    <w:basedOn w:val="Normal"/>
    <w:uiPriority w:val="11"/>
    <w:rsid w:val="00CF46F2"/>
    <w:pPr>
      <w:spacing w:after="0" w:line="240" w:lineRule="atLeast"/>
      <w:contextualSpacing/>
    </w:pPr>
    <w:rPr>
      <w:rFonts w:cstheme="minorHAnsi"/>
      <w:color w:val="15397F" w:themeColor="background2"/>
      <w:sz w:val="32"/>
    </w:rPr>
  </w:style>
  <w:style w:type="paragraph" w:customStyle="1" w:styleId="IntroCopy">
    <w:name w:val="Intro Copy"/>
    <w:basedOn w:val="Normal"/>
    <w:qFormat/>
    <w:rsid w:val="008064D9"/>
    <w:pPr>
      <w:spacing w:line="216" w:lineRule="auto"/>
    </w:pPr>
    <w:rPr>
      <w:b/>
      <w:color w:val="15397F" w:themeColor="background2"/>
      <w:sz w:val="46"/>
    </w:rPr>
  </w:style>
  <w:style w:type="paragraph" w:customStyle="1" w:styleId="TableBullet">
    <w:name w:val="Table Bullet"/>
    <w:basedOn w:val="TableText"/>
    <w:qFormat/>
    <w:rsid w:val="00645247"/>
    <w:pPr>
      <w:numPr>
        <w:numId w:val="10"/>
      </w:numPr>
      <w:ind w:left="142" w:hanging="142"/>
    </w:pPr>
  </w:style>
  <w:style w:type="paragraph" w:customStyle="1" w:styleId="TableText">
    <w:name w:val="Table Text"/>
    <w:basedOn w:val="Normal"/>
    <w:uiPriority w:val="9"/>
    <w:qFormat/>
    <w:rsid w:val="002F792A"/>
    <w:pPr>
      <w:adjustRightInd/>
      <w:snapToGrid/>
      <w:spacing w:before="60" w:after="60" w:line="240" w:lineRule="auto"/>
    </w:pPr>
    <w:rPr>
      <w:rFonts w:eastAsia="Times New Roman"/>
      <w:color w:val="FFFFFF"/>
      <w:spacing w:val="-3"/>
      <w:sz w:val="16"/>
      <w:szCs w:val="19"/>
      <w:lang w:eastAsia="en-AU"/>
    </w:rPr>
  </w:style>
  <w:style w:type="paragraph" w:styleId="FootnoteText">
    <w:name w:val="footnote text"/>
    <w:basedOn w:val="Normal"/>
    <w:link w:val="FootnoteTextChar"/>
    <w:uiPriority w:val="11"/>
    <w:semiHidden/>
    <w:rsid w:val="007144B6"/>
    <w:pPr>
      <w:framePr w:w="10206" w:wrap="around" w:vAnchor="text" w:hAnchor="page" w:x="852" w:y="1" w:anchorLock="1"/>
      <w:tabs>
        <w:tab w:val="left" w:pos="320"/>
      </w:tabs>
      <w:adjustRightInd/>
      <w:snapToGrid/>
      <w:spacing w:before="80" w:after="60" w:line="200" w:lineRule="atLeast"/>
      <w:ind w:left="318" w:hanging="318"/>
    </w:pPr>
    <w:rPr>
      <w:rFonts w:ascii="Gotham Book" w:eastAsia="Times New Roman" w:hAnsi="Gotham Book"/>
      <w:spacing w:val="-3"/>
      <w:sz w:val="16"/>
      <w:szCs w:val="16"/>
      <w:lang w:eastAsia="en-AU"/>
    </w:rPr>
  </w:style>
  <w:style w:type="character" w:customStyle="1" w:styleId="FootnoteTextChar">
    <w:name w:val="Footnote Text Char"/>
    <w:basedOn w:val="DefaultParagraphFont"/>
    <w:link w:val="FootnoteText"/>
    <w:uiPriority w:val="11"/>
    <w:semiHidden/>
    <w:rsid w:val="007144B6"/>
    <w:rPr>
      <w:rFonts w:ascii="Gotham Book" w:eastAsia="Times New Roman" w:hAnsi="Gotham Book"/>
      <w:color w:val="2C2A29" w:themeColor="text2"/>
      <w:spacing w:val="-3"/>
      <w:sz w:val="16"/>
      <w:szCs w:val="16"/>
      <w:lang w:val="en-AU" w:eastAsia="en-AU"/>
    </w:rPr>
  </w:style>
  <w:style w:type="paragraph" w:customStyle="1" w:styleId="Source">
    <w:name w:val="Source"/>
    <w:uiPriority w:val="97"/>
    <w:semiHidden/>
    <w:qFormat/>
    <w:rsid w:val="00C63303"/>
    <w:pPr>
      <w:numPr>
        <w:numId w:val="5"/>
      </w:numPr>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C63303"/>
    <w:pPr>
      <w:numPr>
        <w:numId w:val="6"/>
      </w:numPr>
    </w:pPr>
  </w:style>
  <w:style w:type="numbering" w:styleId="1ai">
    <w:name w:val="Outline List 1"/>
    <w:basedOn w:val="NoList"/>
    <w:uiPriority w:val="97"/>
    <w:semiHidden/>
    <w:rsid w:val="00C63303"/>
    <w:pPr>
      <w:numPr>
        <w:numId w:val="7"/>
      </w:numPr>
    </w:pPr>
  </w:style>
  <w:style w:type="numbering" w:styleId="ArticleSection">
    <w:name w:val="Outline List 3"/>
    <w:basedOn w:val="NoList"/>
    <w:uiPriority w:val="97"/>
    <w:semiHidden/>
    <w:rsid w:val="00C63303"/>
    <w:pPr>
      <w:numPr>
        <w:numId w:val="8"/>
      </w:numPr>
    </w:pPr>
  </w:style>
  <w:style w:type="paragraph" w:styleId="BalloonText">
    <w:name w:val="Balloon Text"/>
    <w:basedOn w:val="Normal"/>
    <w:link w:val="BalloonTextChar"/>
    <w:uiPriority w:val="97"/>
    <w:semiHidden/>
    <w:rsid w:val="00C63303"/>
    <w:pPr>
      <w:spacing w:after="0" w:line="240" w:lineRule="auto"/>
    </w:pPr>
    <w:rPr>
      <w:sz w:val="16"/>
      <w:szCs w:val="16"/>
    </w:rPr>
  </w:style>
  <w:style w:type="character" w:customStyle="1" w:styleId="BalloonTextChar">
    <w:name w:val="Balloon Text Char"/>
    <w:basedOn w:val="DefaultParagraphFont"/>
    <w:link w:val="BalloonText"/>
    <w:rsid w:val="00C63303"/>
    <w:rPr>
      <w:rFonts w:asciiTheme="minorHAnsi" w:hAnsiTheme="minorHAnsi" w:cstheme="minorHAnsi"/>
      <w:kern w:val="20"/>
      <w:sz w:val="16"/>
      <w:szCs w:val="16"/>
      <w:lang w:val="en-AU" w:eastAsia="zh-CN"/>
    </w:rPr>
  </w:style>
  <w:style w:type="paragraph" w:styleId="Bibliography">
    <w:name w:val="Bibliography"/>
    <w:basedOn w:val="Normal"/>
    <w:next w:val="Normal"/>
    <w:uiPriority w:val="97"/>
    <w:semiHidden/>
    <w:unhideWhenUsed/>
    <w:rsid w:val="00C63303"/>
  </w:style>
  <w:style w:type="paragraph" w:styleId="BlockText">
    <w:name w:val="Block Text"/>
    <w:basedOn w:val="Normal"/>
    <w:uiPriority w:val="97"/>
    <w:semiHidden/>
    <w:rsid w:val="00C63303"/>
    <w:pPr>
      <w:pBdr>
        <w:top w:val="single" w:sz="2" w:space="10" w:color="00A5D4" w:themeColor="accent1" w:shadow="1" w:frame="1"/>
        <w:left w:val="single" w:sz="2" w:space="10" w:color="00A5D4" w:themeColor="accent1" w:shadow="1" w:frame="1"/>
        <w:bottom w:val="single" w:sz="2" w:space="10" w:color="00A5D4" w:themeColor="accent1" w:shadow="1" w:frame="1"/>
        <w:right w:val="single" w:sz="2" w:space="10" w:color="00A5D4" w:themeColor="accent1" w:shadow="1" w:frame="1"/>
      </w:pBdr>
      <w:ind w:left="1152" w:right="1152"/>
    </w:pPr>
    <w:rPr>
      <w:rFonts w:eastAsiaTheme="minorEastAsia"/>
      <w:i/>
      <w:iCs/>
      <w:color w:val="00A5D4" w:themeColor="accent1"/>
    </w:rPr>
  </w:style>
  <w:style w:type="paragraph" w:styleId="BodyText">
    <w:name w:val="Body Text"/>
    <w:basedOn w:val="Normal"/>
    <w:link w:val="BodyTextChar"/>
    <w:uiPriority w:val="97"/>
    <w:semiHidden/>
    <w:rsid w:val="00C63303"/>
  </w:style>
  <w:style w:type="character" w:customStyle="1" w:styleId="BodyTextChar">
    <w:name w:val="Body Text Char"/>
    <w:basedOn w:val="DefaultParagraphFont"/>
    <w:link w:val="BodyText"/>
    <w:rsid w:val="00C63303"/>
    <w:rPr>
      <w:rFonts w:asciiTheme="minorHAnsi" w:hAnsiTheme="minorHAnsi" w:cstheme="minorHAnsi"/>
      <w:kern w:val="20"/>
      <w:szCs w:val="24"/>
      <w:lang w:val="en-AU" w:eastAsia="zh-CN"/>
    </w:rPr>
  </w:style>
  <w:style w:type="paragraph" w:styleId="BodyText2">
    <w:name w:val="Body Text 2"/>
    <w:basedOn w:val="Normal"/>
    <w:link w:val="BodyText2Char"/>
    <w:uiPriority w:val="97"/>
    <w:semiHidden/>
    <w:rsid w:val="00C63303"/>
    <w:pPr>
      <w:spacing w:line="480" w:lineRule="auto"/>
    </w:pPr>
  </w:style>
  <w:style w:type="character" w:customStyle="1" w:styleId="BodyText2Char">
    <w:name w:val="Body Text 2 Char"/>
    <w:basedOn w:val="DefaultParagraphFont"/>
    <w:link w:val="BodyText2"/>
    <w:rsid w:val="00C63303"/>
    <w:rPr>
      <w:rFonts w:asciiTheme="minorHAnsi" w:hAnsiTheme="minorHAnsi" w:cstheme="minorHAnsi"/>
      <w:kern w:val="20"/>
      <w:szCs w:val="24"/>
      <w:lang w:val="en-AU" w:eastAsia="zh-CN"/>
    </w:rPr>
  </w:style>
  <w:style w:type="paragraph" w:styleId="BodyText3">
    <w:name w:val="Body Text 3"/>
    <w:basedOn w:val="Normal"/>
    <w:link w:val="BodyText3Char"/>
    <w:uiPriority w:val="97"/>
    <w:semiHidden/>
    <w:rsid w:val="00C63303"/>
    <w:rPr>
      <w:sz w:val="16"/>
      <w:szCs w:val="16"/>
    </w:rPr>
  </w:style>
  <w:style w:type="character" w:customStyle="1" w:styleId="BodyText3Char">
    <w:name w:val="Body Text 3 Char"/>
    <w:basedOn w:val="DefaultParagraphFont"/>
    <w:link w:val="BodyText3"/>
    <w:rsid w:val="00C63303"/>
    <w:rPr>
      <w:rFonts w:asciiTheme="minorHAnsi" w:hAnsiTheme="minorHAnsi" w:cstheme="minorHAnsi"/>
      <w:kern w:val="20"/>
      <w:sz w:val="16"/>
      <w:szCs w:val="16"/>
      <w:lang w:val="en-AU" w:eastAsia="zh-CN"/>
    </w:rPr>
  </w:style>
  <w:style w:type="paragraph" w:styleId="BodyTextFirstIndent">
    <w:name w:val="Body Text First Indent"/>
    <w:basedOn w:val="BodyText"/>
    <w:link w:val="BodyTextFirstIndentChar"/>
    <w:uiPriority w:val="97"/>
    <w:semiHidden/>
    <w:rsid w:val="00C63303"/>
    <w:pPr>
      <w:spacing w:after="80"/>
      <w:ind w:firstLine="360"/>
    </w:pPr>
  </w:style>
  <w:style w:type="character" w:customStyle="1" w:styleId="BodyTextFirstIndentChar">
    <w:name w:val="Body Text First Indent Char"/>
    <w:basedOn w:val="BodyTextChar"/>
    <w:link w:val="BodyTextFirstIndent"/>
    <w:rsid w:val="00C63303"/>
    <w:rPr>
      <w:rFonts w:asciiTheme="minorHAnsi" w:hAnsiTheme="minorHAnsi" w:cstheme="minorHAnsi"/>
      <w:kern w:val="20"/>
      <w:szCs w:val="24"/>
      <w:lang w:val="en-AU" w:eastAsia="zh-CN"/>
    </w:rPr>
  </w:style>
  <w:style w:type="paragraph" w:styleId="BodyTextIndent">
    <w:name w:val="Body Text Indent"/>
    <w:basedOn w:val="Normal"/>
    <w:link w:val="BodyTextIndentChar"/>
    <w:uiPriority w:val="97"/>
    <w:semiHidden/>
    <w:rsid w:val="00C63303"/>
    <w:pPr>
      <w:ind w:left="283"/>
    </w:pPr>
  </w:style>
  <w:style w:type="character" w:customStyle="1" w:styleId="BodyTextIndentChar">
    <w:name w:val="Body Text Indent Char"/>
    <w:basedOn w:val="DefaultParagraphFont"/>
    <w:link w:val="BodyTextIndent"/>
    <w:rsid w:val="00C63303"/>
    <w:rPr>
      <w:rFonts w:asciiTheme="minorHAnsi" w:hAnsiTheme="minorHAnsi" w:cstheme="minorHAnsi"/>
      <w:kern w:val="20"/>
      <w:szCs w:val="24"/>
      <w:lang w:val="en-AU" w:eastAsia="zh-CN"/>
    </w:rPr>
  </w:style>
  <w:style w:type="paragraph" w:styleId="BodyTextFirstIndent2">
    <w:name w:val="Body Text First Indent 2"/>
    <w:basedOn w:val="BodyTextIndent"/>
    <w:link w:val="BodyTextFirstIndent2Char"/>
    <w:uiPriority w:val="97"/>
    <w:semiHidden/>
    <w:rsid w:val="00C63303"/>
    <w:pPr>
      <w:spacing w:after="80"/>
      <w:ind w:left="360" w:firstLine="360"/>
    </w:pPr>
  </w:style>
  <w:style w:type="character" w:customStyle="1" w:styleId="BodyTextFirstIndent2Char">
    <w:name w:val="Body Text First Indent 2 Char"/>
    <w:basedOn w:val="BodyTextIndentChar"/>
    <w:link w:val="BodyTextFirstIndent2"/>
    <w:rsid w:val="00C63303"/>
    <w:rPr>
      <w:rFonts w:asciiTheme="minorHAnsi" w:hAnsiTheme="minorHAnsi" w:cstheme="minorHAnsi"/>
      <w:kern w:val="20"/>
      <w:szCs w:val="24"/>
      <w:lang w:val="en-AU" w:eastAsia="zh-CN"/>
    </w:rPr>
  </w:style>
  <w:style w:type="paragraph" w:styleId="BodyTextIndent2">
    <w:name w:val="Body Text Indent 2"/>
    <w:basedOn w:val="Normal"/>
    <w:link w:val="BodyTextIndent2Char"/>
    <w:uiPriority w:val="97"/>
    <w:semiHidden/>
    <w:rsid w:val="00C63303"/>
    <w:pPr>
      <w:spacing w:line="480" w:lineRule="auto"/>
      <w:ind w:left="283"/>
    </w:pPr>
  </w:style>
  <w:style w:type="character" w:customStyle="1" w:styleId="BodyTextIndent2Char">
    <w:name w:val="Body Text Indent 2 Char"/>
    <w:basedOn w:val="DefaultParagraphFont"/>
    <w:link w:val="BodyTextIndent2"/>
    <w:rsid w:val="00C63303"/>
    <w:rPr>
      <w:rFonts w:asciiTheme="minorHAnsi" w:hAnsiTheme="minorHAnsi" w:cstheme="minorHAnsi"/>
      <w:kern w:val="20"/>
      <w:szCs w:val="24"/>
      <w:lang w:val="en-AU" w:eastAsia="zh-CN"/>
    </w:rPr>
  </w:style>
  <w:style w:type="paragraph" w:styleId="BodyTextIndent3">
    <w:name w:val="Body Text Indent 3"/>
    <w:basedOn w:val="Normal"/>
    <w:link w:val="BodyTextIndent3Char"/>
    <w:uiPriority w:val="97"/>
    <w:semiHidden/>
    <w:rsid w:val="00C63303"/>
    <w:pPr>
      <w:ind w:left="283"/>
    </w:pPr>
    <w:rPr>
      <w:sz w:val="16"/>
      <w:szCs w:val="16"/>
    </w:rPr>
  </w:style>
  <w:style w:type="character" w:customStyle="1" w:styleId="BodyTextIndent3Char">
    <w:name w:val="Body Text Indent 3 Char"/>
    <w:basedOn w:val="DefaultParagraphFont"/>
    <w:link w:val="BodyTextIndent3"/>
    <w:rsid w:val="00C63303"/>
    <w:rPr>
      <w:rFonts w:asciiTheme="minorHAnsi" w:hAnsiTheme="minorHAnsi" w:cstheme="minorHAnsi"/>
      <w:kern w:val="20"/>
      <w:sz w:val="16"/>
      <w:szCs w:val="16"/>
      <w:lang w:val="en-AU" w:eastAsia="zh-CN"/>
    </w:rPr>
  </w:style>
  <w:style w:type="character" w:styleId="BookTitle">
    <w:name w:val="Book Title"/>
    <w:basedOn w:val="DefaultParagraphFont"/>
    <w:uiPriority w:val="97"/>
    <w:semiHidden/>
    <w:rsid w:val="00C63303"/>
    <w:rPr>
      <w:rFonts w:asciiTheme="minorHAnsi" w:hAnsiTheme="minorHAnsi" w:cstheme="minorHAnsi"/>
      <w:b/>
      <w:bCs/>
      <w:smallCaps/>
      <w:spacing w:val="5"/>
    </w:rPr>
  </w:style>
  <w:style w:type="paragraph" w:styleId="Closing">
    <w:name w:val="Closing"/>
    <w:basedOn w:val="Normal"/>
    <w:link w:val="ClosingChar"/>
    <w:uiPriority w:val="97"/>
    <w:semiHidden/>
    <w:rsid w:val="00C63303"/>
    <w:pPr>
      <w:spacing w:after="0" w:line="240" w:lineRule="auto"/>
      <w:ind w:left="4252"/>
    </w:pPr>
  </w:style>
  <w:style w:type="character" w:customStyle="1" w:styleId="ClosingChar">
    <w:name w:val="Closing Char"/>
    <w:basedOn w:val="DefaultParagraphFont"/>
    <w:link w:val="Closing"/>
    <w:rsid w:val="00C63303"/>
    <w:rPr>
      <w:rFonts w:asciiTheme="minorHAnsi" w:hAnsiTheme="minorHAnsi" w:cstheme="minorHAnsi"/>
      <w:kern w:val="20"/>
      <w:szCs w:val="24"/>
      <w:lang w:val="en-AU" w:eastAsia="zh-CN"/>
    </w:rPr>
  </w:style>
  <w:style w:type="table" w:styleId="ColorfulGrid">
    <w:name w:val="Colorful Grid"/>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3F1FF"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7E4FF" w:themeFill="accent1" w:themeFillTint="66"/>
      </w:tcPr>
    </w:tblStylePr>
    <w:tblStylePr w:type="lastRow">
      <w:rPr>
        <w:b/>
        <w:bCs/>
        <w:color w:val="000000" w:themeColor="text1"/>
      </w:rPr>
      <w:tblPr/>
      <w:tcPr>
        <w:shd w:val="clear" w:color="auto" w:fill="87E4FF" w:themeFill="accent1" w:themeFillTint="66"/>
      </w:tcPr>
    </w:tblStylePr>
    <w:tblStylePr w:type="firstCol">
      <w:rPr>
        <w:color w:val="FFFFFF" w:themeColor="background1"/>
      </w:rPr>
      <w:tblPr/>
      <w:tcPr>
        <w:shd w:val="clear" w:color="auto" w:fill="007B9E" w:themeFill="accent1" w:themeFillShade="BF"/>
      </w:tcPr>
    </w:tblStylePr>
    <w:tblStylePr w:type="lastCol">
      <w:rPr>
        <w:color w:val="FFFFFF" w:themeColor="background1"/>
      </w:rPr>
      <w:tblPr/>
      <w:tcPr>
        <w:shd w:val="clear" w:color="auto" w:fill="007B9E" w:themeFill="accent1" w:themeFillShade="BF"/>
      </w:tcPr>
    </w:tblStylePr>
    <w:tblStylePr w:type="band1Vert">
      <w:tblPr/>
      <w:tcPr>
        <w:shd w:val="clear" w:color="auto" w:fill="6ADDFF" w:themeFill="accent1" w:themeFillTint="7F"/>
      </w:tcPr>
    </w:tblStylePr>
    <w:tblStylePr w:type="band1Horz">
      <w:tblPr/>
      <w:tcPr>
        <w:shd w:val="clear" w:color="auto" w:fill="6ADDFF"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F3D4"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AE7AA" w:themeFill="accent2" w:themeFillTint="66"/>
      </w:tcPr>
    </w:tblStylePr>
    <w:tblStylePr w:type="lastRow">
      <w:rPr>
        <w:b/>
        <w:bCs/>
        <w:color w:val="000000" w:themeColor="text1"/>
      </w:rPr>
      <w:tblPr/>
      <w:tcPr>
        <w:shd w:val="clear" w:color="auto" w:fill="FAE7AA" w:themeFill="accent2" w:themeFillTint="66"/>
      </w:tcPr>
    </w:tblStylePr>
    <w:tblStylePr w:type="firstCol">
      <w:rPr>
        <w:color w:val="FFFFFF" w:themeColor="background1"/>
      </w:rPr>
      <w:tblPr/>
      <w:tcPr>
        <w:shd w:val="clear" w:color="auto" w:fill="CB9D0B" w:themeFill="accent2" w:themeFillShade="BF"/>
      </w:tcPr>
    </w:tblStylePr>
    <w:tblStylePr w:type="lastCol">
      <w:rPr>
        <w:color w:val="FFFFFF" w:themeColor="background1"/>
      </w:rPr>
      <w:tblPr/>
      <w:tcPr>
        <w:shd w:val="clear" w:color="auto" w:fill="CB9D0B" w:themeFill="accent2" w:themeFillShade="BF"/>
      </w:tcPr>
    </w:tblStylePr>
    <w:tblStylePr w:type="band1Vert">
      <w:tblPr/>
      <w:tcPr>
        <w:shd w:val="clear" w:color="auto" w:fill="F9E195" w:themeFill="accent2" w:themeFillTint="7F"/>
      </w:tcPr>
    </w:tblStylePr>
    <w:tblStylePr w:type="band1Horz">
      <w:tblPr/>
      <w:tcPr>
        <w:shd w:val="clear" w:color="auto" w:fill="F9E195"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6F7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EF0E5" w:themeFill="accent3" w:themeFillTint="66"/>
      </w:tcPr>
    </w:tblStylePr>
    <w:tblStylePr w:type="lastRow">
      <w:rPr>
        <w:b/>
        <w:bCs/>
        <w:color w:val="000000" w:themeColor="text1"/>
      </w:rPr>
      <w:tblPr/>
      <w:tcPr>
        <w:shd w:val="clear" w:color="auto" w:fill="8EF0E5" w:themeFill="accent3" w:themeFillTint="66"/>
      </w:tcPr>
    </w:tblStylePr>
    <w:tblStylePr w:type="firstCol">
      <w:rPr>
        <w:color w:val="FFFFFF" w:themeColor="background1"/>
      </w:rPr>
      <w:tblPr/>
      <w:tcPr>
        <w:shd w:val="clear" w:color="auto" w:fill="107F73" w:themeFill="accent3" w:themeFillShade="BF"/>
      </w:tcPr>
    </w:tblStylePr>
    <w:tblStylePr w:type="lastCol">
      <w:rPr>
        <w:color w:val="FFFFFF" w:themeColor="background1"/>
      </w:rPr>
      <w:tblPr/>
      <w:tcPr>
        <w:shd w:val="clear" w:color="auto" w:fill="107F73" w:themeFill="accent3" w:themeFillShade="BF"/>
      </w:tcPr>
    </w:tblStylePr>
    <w:tblStylePr w:type="band1Vert">
      <w:tblPr/>
      <w:tcPr>
        <w:shd w:val="clear" w:color="auto" w:fill="73EDDF" w:themeFill="accent3" w:themeFillTint="7F"/>
      </w:tcPr>
    </w:tblStylePr>
    <w:tblStylePr w:type="band1Horz">
      <w:tblPr/>
      <w:tcPr>
        <w:shd w:val="clear" w:color="auto" w:fill="73EDDF"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CEA"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1B9D4" w:themeFill="accent4" w:themeFillTint="66"/>
      </w:tcPr>
    </w:tblStylePr>
    <w:tblStylePr w:type="lastRow">
      <w:rPr>
        <w:b/>
        <w:bCs/>
        <w:color w:val="000000" w:themeColor="text1"/>
      </w:rPr>
      <w:tblPr/>
      <w:tcPr>
        <w:shd w:val="clear" w:color="auto" w:fill="C1B9D4" w:themeFill="accent4" w:themeFillTint="66"/>
      </w:tcPr>
    </w:tblStylePr>
    <w:tblStylePr w:type="firstCol">
      <w:rPr>
        <w:color w:val="FFFFFF" w:themeColor="background1"/>
      </w:rPr>
      <w:tblPr/>
      <w:tcPr>
        <w:shd w:val="clear" w:color="auto" w:fill="4D426B" w:themeFill="accent4" w:themeFillShade="BF"/>
      </w:tcPr>
    </w:tblStylePr>
    <w:tblStylePr w:type="lastCol">
      <w:rPr>
        <w:color w:val="FFFFFF" w:themeColor="background1"/>
      </w:rPr>
      <w:tblPr/>
      <w:tcPr>
        <w:shd w:val="clear" w:color="auto" w:fill="4D426B" w:themeFill="accent4" w:themeFillShade="BF"/>
      </w:tcPr>
    </w:tblStylePr>
    <w:tblStylePr w:type="band1Vert">
      <w:tblPr/>
      <w:tcPr>
        <w:shd w:val="clear" w:color="auto" w:fill="B1A8CA" w:themeFill="accent4" w:themeFillTint="7F"/>
      </w:tcPr>
    </w:tblStylePr>
    <w:tblStylePr w:type="band1Horz">
      <w:tblPr/>
      <w:tcPr>
        <w:shd w:val="clear" w:color="auto" w:fill="B1A8CA"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3DF"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7C8BF" w:themeFill="accent5" w:themeFillTint="66"/>
      </w:tcPr>
    </w:tblStylePr>
    <w:tblStylePr w:type="lastRow">
      <w:rPr>
        <w:b/>
        <w:bCs/>
        <w:color w:val="000000" w:themeColor="text1"/>
      </w:rPr>
      <w:tblPr/>
      <w:tcPr>
        <w:shd w:val="clear" w:color="auto" w:fill="D7C8BF" w:themeFill="accent5" w:themeFillTint="66"/>
      </w:tcPr>
    </w:tblStylePr>
    <w:tblStylePr w:type="firstCol">
      <w:rPr>
        <w:color w:val="FFFFFF" w:themeColor="background1"/>
      </w:rPr>
      <w:tblPr/>
      <w:tcPr>
        <w:shd w:val="clear" w:color="auto" w:fill="745948" w:themeFill="accent5" w:themeFillShade="BF"/>
      </w:tcPr>
    </w:tblStylePr>
    <w:tblStylePr w:type="lastCol">
      <w:rPr>
        <w:color w:val="FFFFFF" w:themeColor="background1"/>
      </w:rPr>
      <w:tblPr/>
      <w:tcPr>
        <w:shd w:val="clear" w:color="auto" w:fill="745948" w:themeFill="accent5" w:themeFillShade="BF"/>
      </w:tcPr>
    </w:tblStylePr>
    <w:tblStylePr w:type="band1Vert">
      <w:tblPr/>
      <w:tcPr>
        <w:shd w:val="clear" w:color="auto" w:fill="CEBBB0" w:themeFill="accent5" w:themeFillTint="7F"/>
      </w:tcPr>
    </w:tblStylePr>
    <w:tblStylePr w:type="band1Horz">
      <w:tblPr/>
      <w:tcPr>
        <w:shd w:val="clear" w:color="auto" w:fill="CEBBB0"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C5D3"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38BA7" w:themeFill="accent6" w:themeFillTint="66"/>
      </w:tcPr>
    </w:tblStylePr>
    <w:tblStylePr w:type="lastRow">
      <w:rPr>
        <w:b/>
        <w:bCs/>
        <w:color w:val="000000" w:themeColor="text1"/>
      </w:rPr>
      <w:tblPr/>
      <w:tcPr>
        <w:shd w:val="clear" w:color="auto" w:fill="F38BA7" w:themeFill="accent6" w:themeFillTint="66"/>
      </w:tcPr>
    </w:tblStylePr>
    <w:tblStylePr w:type="firstCol">
      <w:rPr>
        <w:color w:val="FFFFFF" w:themeColor="background1"/>
      </w:rPr>
      <w:tblPr/>
      <w:tcPr>
        <w:shd w:val="clear" w:color="auto" w:fill="810D2C" w:themeFill="accent6" w:themeFillShade="BF"/>
      </w:tcPr>
    </w:tblStylePr>
    <w:tblStylePr w:type="lastCol">
      <w:rPr>
        <w:color w:val="FFFFFF" w:themeColor="background1"/>
      </w:rPr>
      <w:tblPr/>
      <w:tcPr>
        <w:shd w:val="clear" w:color="auto" w:fill="810D2C" w:themeFill="accent6" w:themeFillShade="BF"/>
      </w:tcPr>
    </w:tblStylePr>
    <w:tblStylePr w:type="band1Vert">
      <w:tblPr/>
      <w:tcPr>
        <w:shd w:val="clear" w:color="auto" w:fill="F06F91" w:themeFill="accent6" w:themeFillTint="7F"/>
      </w:tcPr>
    </w:tblStylePr>
    <w:tblStylePr w:type="band1Horz">
      <w:tblPr/>
      <w:tcPr>
        <w:shd w:val="clear" w:color="auto" w:fill="F06F91"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8A70C" w:themeFill="accent2" w:themeFillShade="CC"/>
      </w:tcPr>
    </w:tblStylePr>
    <w:tblStylePr w:type="lastRow">
      <w:rPr>
        <w:b/>
        <w:bCs/>
        <w:color w:val="D8A7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1F8F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8A70C" w:themeFill="accent2" w:themeFillShade="CC"/>
      </w:tcPr>
    </w:tblStylePr>
    <w:tblStylePr w:type="lastRow">
      <w:rPr>
        <w:b/>
        <w:bCs/>
        <w:color w:val="D8A7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EEFF" w:themeFill="accent1" w:themeFillTint="3F"/>
      </w:tcPr>
    </w:tblStylePr>
    <w:tblStylePr w:type="band1Horz">
      <w:tblPr/>
      <w:tcPr>
        <w:shd w:val="clear" w:color="auto" w:fill="C3F1FF"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9EA"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8A70C" w:themeFill="accent2" w:themeFillShade="CC"/>
      </w:tcPr>
    </w:tblStylePr>
    <w:tblStylePr w:type="lastRow">
      <w:rPr>
        <w:b/>
        <w:bCs/>
        <w:color w:val="D8A7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0CA" w:themeFill="accent2" w:themeFillTint="3F"/>
      </w:tcPr>
    </w:tblStylePr>
    <w:tblStylePr w:type="band1Horz">
      <w:tblPr/>
      <w:tcPr>
        <w:shd w:val="clear" w:color="auto" w:fill="FCF3D4"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FBF8"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24673" w:themeFill="accent4" w:themeFillShade="CC"/>
      </w:tcPr>
    </w:tblStylePr>
    <w:tblStylePr w:type="lastRow">
      <w:rPr>
        <w:b/>
        <w:bCs/>
        <w:color w:val="5246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6EF" w:themeFill="accent3" w:themeFillTint="3F"/>
      </w:tcPr>
    </w:tblStylePr>
    <w:tblStylePr w:type="band1Horz">
      <w:tblPr/>
      <w:tcPr>
        <w:shd w:val="clear" w:color="auto" w:fill="C6F7F2"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EF4"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1887B" w:themeFill="accent3" w:themeFillShade="CC"/>
      </w:tcPr>
    </w:tblStylePr>
    <w:tblStylePr w:type="lastRow">
      <w:rPr>
        <w:b/>
        <w:bCs/>
        <w:color w:val="1188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4E4" w:themeFill="accent4" w:themeFillTint="3F"/>
      </w:tcPr>
    </w:tblStylePr>
    <w:tblStylePr w:type="band1Horz">
      <w:tblPr/>
      <w:tcPr>
        <w:shd w:val="clear" w:color="auto" w:fill="DFDCEA"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1EF"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A0E2F" w:themeFill="accent6" w:themeFillShade="CC"/>
      </w:tcPr>
    </w:tblStylePr>
    <w:tblStylePr w:type="lastRow">
      <w:rPr>
        <w:b/>
        <w:bCs/>
        <w:color w:val="8A0E2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DD7" w:themeFill="accent5" w:themeFillTint="3F"/>
      </w:tcPr>
    </w:tblStylePr>
    <w:tblStylePr w:type="band1Horz">
      <w:tblPr/>
      <w:tcPr>
        <w:shd w:val="clear" w:color="auto" w:fill="EBE3DF"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2E9"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C5F4D" w:themeFill="accent5" w:themeFillShade="CC"/>
      </w:tcPr>
    </w:tblStylePr>
    <w:tblStylePr w:type="lastRow">
      <w:rPr>
        <w:b/>
        <w:bCs/>
        <w:color w:val="7C5F4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B7C8" w:themeFill="accent6" w:themeFillTint="3F"/>
      </w:tcPr>
    </w:tblStylePr>
    <w:tblStylePr w:type="band1Horz">
      <w:tblPr/>
      <w:tcPr>
        <w:shd w:val="clear" w:color="auto" w:fill="F9C5D3"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Ind w:w="0" w:type="dxa"/>
      <w:tblBorders>
        <w:top w:val="single" w:sz="24" w:space="0" w:color="F3C42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3C4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Ind w:w="0" w:type="dxa"/>
      <w:tblBorders>
        <w:top w:val="single" w:sz="24" w:space="0" w:color="F3C42C" w:themeColor="accent2"/>
        <w:left w:val="single" w:sz="4" w:space="0" w:color="00A5D4" w:themeColor="accent1"/>
        <w:bottom w:val="single" w:sz="4" w:space="0" w:color="00A5D4" w:themeColor="accent1"/>
        <w:right w:val="single" w:sz="4" w:space="0" w:color="00A5D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F8F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3C4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27F" w:themeFill="accent1" w:themeFillShade="99"/>
      </w:tcPr>
    </w:tblStylePr>
    <w:tblStylePr w:type="firstCol">
      <w:rPr>
        <w:color w:val="FFFFFF" w:themeColor="background1"/>
      </w:rPr>
      <w:tblPr/>
      <w:tcPr>
        <w:tcBorders>
          <w:top w:val="nil"/>
          <w:left w:val="nil"/>
          <w:bottom w:val="nil"/>
          <w:right w:val="nil"/>
          <w:insideH w:val="single" w:sz="4" w:space="0" w:color="00627F" w:themeColor="accent1" w:themeShade="99"/>
          <w:insideV w:val="nil"/>
        </w:tcBorders>
        <w:shd w:val="clear" w:color="auto" w:fill="0062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27F" w:themeFill="accent1" w:themeFillShade="99"/>
      </w:tcPr>
    </w:tblStylePr>
    <w:tblStylePr w:type="band1Vert">
      <w:tblPr/>
      <w:tcPr>
        <w:shd w:val="clear" w:color="auto" w:fill="87E4FF" w:themeFill="accent1" w:themeFillTint="66"/>
      </w:tcPr>
    </w:tblStylePr>
    <w:tblStylePr w:type="band1Horz">
      <w:tblPr/>
      <w:tcPr>
        <w:shd w:val="clear" w:color="auto" w:fill="6AD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Ind w:w="0" w:type="dxa"/>
      <w:tblBorders>
        <w:top w:val="single" w:sz="24" w:space="0" w:color="F3C42C" w:themeColor="accent2"/>
        <w:left w:val="single" w:sz="4" w:space="0" w:color="F3C42C" w:themeColor="accent2"/>
        <w:bottom w:val="single" w:sz="4" w:space="0" w:color="F3C42C" w:themeColor="accent2"/>
        <w:right w:val="single" w:sz="4" w:space="0" w:color="F3C42C"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9EA"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3C4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7D09" w:themeFill="accent2" w:themeFillShade="99"/>
      </w:tcPr>
    </w:tblStylePr>
    <w:tblStylePr w:type="firstCol">
      <w:rPr>
        <w:color w:val="FFFFFF" w:themeColor="background1"/>
      </w:rPr>
      <w:tblPr/>
      <w:tcPr>
        <w:tcBorders>
          <w:top w:val="nil"/>
          <w:left w:val="nil"/>
          <w:bottom w:val="nil"/>
          <w:right w:val="nil"/>
          <w:insideH w:val="single" w:sz="4" w:space="0" w:color="A27D09" w:themeColor="accent2" w:themeShade="99"/>
          <w:insideV w:val="nil"/>
        </w:tcBorders>
        <w:shd w:val="clear" w:color="auto" w:fill="A27D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27D09" w:themeFill="accent2" w:themeFillShade="99"/>
      </w:tcPr>
    </w:tblStylePr>
    <w:tblStylePr w:type="band1Vert">
      <w:tblPr/>
      <w:tcPr>
        <w:shd w:val="clear" w:color="auto" w:fill="FAE7AA" w:themeFill="accent2" w:themeFillTint="66"/>
      </w:tcPr>
    </w:tblStylePr>
    <w:tblStylePr w:type="band1Horz">
      <w:tblPr/>
      <w:tcPr>
        <w:shd w:val="clear" w:color="auto" w:fill="F9E19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Ind w:w="0" w:type="dxa"/>
      <w:tblBorders>
        <w:top w:val="single" w:sz="24" w:space="0" w:color="675890" w:themeColor="accent4"/>
        <w:left w:val="single" w:sz="4" w:space="0" w:color="16AB9B" w:themeColor="accent3"/>
        <w:bottom w:val="single" w:sz="4" w:space="0" w:color="16AB9B" w:themeColor="accent3"/>
        <w:right w:val="single" w:sz="4" w:space="0" w:color="16AB9B"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BF8"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758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65C" w:themeFill="accent3" w:themeFillShade="99"/>
      </w:tcPr>
    </w:tblStylePr>
    <w:tblStylePr w:type="firstCol">
      <w:rPr>
        <w:color w:val="FFFFFF" w:themeColor="background1"/>
      </w:rPr>
      <w:tblPr/>
      <w:tcPr>
        <w:tcBorders>
          <w:top w:val="nil"/>
          <w:left w:val="nil"/>
          <w:bottom w:val="nil"/>
          <w:right w:val="nil"/>
          <w:insideH w:val="single" w:sz="4" w:space="0" w:color="0D665C" w:themeColor="accent3" w:themeShade="99"/>
          <w:insideV w:val="nil"/>
        </w:tcBorders>
        <w:shd w:val="clear" w:color="auto" w:fill="0D66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D665C" w:themeFill="accent3" w:themeFillShade="99"/>
      </w:tcPr>
    </w:tblStylePr>
    <w:tblStylePr w:type="band1Vert">
      <w:tblPr/>
      <w:tcPr>
        <w:shd w:val="clear" w:color="auto" w:fill="8EF0E5" w:themeFill="accent3" w:themeFillTint="66"/>
      </w:tcPr>
    </w:tblStylePr>
    <w:tblStylePr w:type="band1Horz">
      <w:tblPr/>
      <w:tcPr>
        <w:shd w:val="clear" w:color="auto" w:fill="73EDDF"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Ind w:w="0" w:type="dxa"/>
      <w:tblBorders>
        <w:top w:val="single" w:sz="24" w:space="0" w:color="16AB9B" w:themeColor="accent3"/>
        <w:left w:val="single" w:sz="4" w:space="0" w:color="675890" w:themeColor="accent4"/>
        <w:bottom w:val="single" w:sz="4" w:space="0" w:color="675890" w:themeColor="accent4"/>
        <w:right w:val="single" w:sz="4" w:space="0" w:color="67589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EF4"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16AB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456" w:themeFill="accent4" w:themeFillShade="99"/>
      </w:tcPr>
    </w:tblStylePr>
    <w:tblStylePr w:type="firstCol">
      <w:rPr>
        <w:color w:val="FFFFFF" w:themeColor="background1"/>
      </w:rPr>
      <w:tblPr/>
      <w:tcPr>
        <w:tcBorders>
          <w:top w:val="nil"/>
          <w:left w:val="nil"/>
          <w:bottom w:val="nil"/>
          <w:right w:val="nil"/>
          <w:insideH w:val="single" w:sz="4" w:space="0" w:color="3D3456" w:themeColor="accent4" w:themeShade="99"/>
          <w:insideV w:val="nil"/>
        </w:tcBorders>
        <w:shd w:val="clear" w:color="auto" w:fill="3D34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456" w:themeFill="accent4" w:themeFillShade="99"/>
      </w:tcPr>
    </w:tblStylePr>
    <w:tblStylePr w:type="band1Vert">
      <w:tblPr/>
      <w:tcPr>
        <w:shd w:val="clear" w:color="auto" w:fill="C1B9D4" w:themeFill="accent4" w:themeFillTint="66"/>
      </w:tcPr>
    </w:tblStylePr>
    <w:tblStylePr w:type="band1Horz">
      <w:tblPr/>
      <w:tcPr>
        <w:shd w:val="clear" w:color="auto" w:fill="B1A8C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Ind w:w="0" w:type="dxa"/>
      <w:tblBorders>
        <w:top w:val="single" w:sz="24" w:space="0" w:color="AD123C" w:themeColor="accent6"/>
        <w:left w:val="single" w:sz="4" w:space="0" w:color="9C7761" w:themeColor="accent5"/>
        <w:bottom w:val="single" w:sz="4" w:space="0" w:color="9C7761" w:themeColor="accent5"/>
        <w:right w:val="single" w:sz="4" w:space="0" w:color="9C7761"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1EF"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D12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473A" w:themeFill="accent5" w:themeFillShade="99"/>
      </w:tcPr>
    </w:tblStylePr>
    <w:tblStylePr w:type="firstCol">
      <w:rPr>
        <w:color w:val="FFFFFF" w:themeColor="background1"/>
      </w:rPr>
      <w:tblPr/>
      <w:tcPr>
        <w:tcBorders>
          <w:top w:val="nil"/>
          <w:left w:val="nil"/>
          <w:bottom w:val="nil"/>
          <w:right w:val="nil"/>
          <w:insideH w:val="single" w:sz="4" w:space="0" w:color="5D473A" w:themeColor="accent5" w:themeShade="99"/>
          <w:insideV w:val="nil"/>
        </w:tcBorders>
        <w:shd w:val="clear" w:color="auto" w:fill="5D473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473A" w:themeFill="accent5" w:themeFillShade="99"/>
      </w:tcPr>
    </w:tblStylePr>
    <w:tblStylePr w:type="band1Vert">
      <w:tblPr/>
      <w:tcPr>
        <w:shd w:val="clear" w:color="auto" w:fill="D7C8BF" w:themeFill="accent5" w:themeFillTint="66"/>
      </w:tcPr>
    </w:tblStylePr>
    <w:tblStylePr w:type="band1Horz">
      <w:tblPr/>
      <w:tcPr>
        <w:shd w:val="clear" w:color="auto" w:fill="CEBBB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Ind w:w="0" w:type="dxa"/>
      <w:tblBorders>
        <w:top w:val="single" w:sz="24" w:space="0" w:color="9C7761" w:themeColor="accent5"/>
        <w:left w:val="single" w:sz="4" w:space="0" w:color="AD123C" w:themeColor="accent6"/>
        <w:bottom w:val="single" w:sz="4" w:space="0" w:color="AD123C" w:themeColor="accent6"/>
        <w:right w:val="single" w:sz="4" w:space="0" w:color="AD123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2E9"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C776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0A23" w:themeFill="accent6" w:themeFillShade="99"/>
      </w:tcPr>
    </w:tblStylePr>
    <w:tblStylePr w:type="firstCol">
      <w:rPr>
        <w:color w:val="FFFFFF" w:themeColor="background1"/>
      </w:rPr>
      <w:tblPr/>
      <w:tcPr>
        <w:tcBorders>
          <w:top w:val="nil"/>
          <w:left w:val="nil"/>
          <w:bottom w:val="nil"/>
          <w:right w:val="nil"/>
          <w:insideH w:val="single" w:sz="4" w:space="0" w:color="670A23" w:themeColor="accent6" w:themeShade="99"/>
          <w:insideV w:val="nil"/>
        </w:tcBorders>
        <w:shd w:val="clear" w:color="auto" w:fill="670A2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70A23" w:themeFill="accent6" w:themeFillShade="99"/>
      </w:tcPr>
    </w:tblStylePr>
    <w:tblStylePr w:type="band1Vert">
      <w:tblPr/>
      <w:tcPr>
        <w:shd w:val="clear" w:color="auto" w:fill="F38BA7" w:themeFill="accent6" w:themeFillTint="66"/>
      </w:tcPr>
    </w:tblStylePr>
    <w:tblStylePr w:type="band1Horz">
      <w:tblPr/>
      <w:tcPr>
        <w:shd w:val="clear" w:color="auto" w:fill="F06F9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C63303"/>
    <w:rPr>
      <w:rFonts w:asciiTheme="minorHAnsi" w:hAnsiTheme="minorHAnsi" w:cstheme="minorHAnsi"/>
      <w:sz w:val="16"/>
      <w:szCs w:val="16"/>
    </w:rPr>
  </w:style>
  <w:style w:type="paragraph" w:styleId="CommentText">
    <w:name w:val="annotation text"/>
    <w:basedOn w:val="Normal"/>
    <w:link w:val="CommentTextChar"/>
    <w:uiPriority w:val="97"/>
    <w:semiHidden/>
    <w:rsid w:val="00C63303"/>
    <w:pPr>
      <w:spacing w:line="240" w:lineRule="auto"/>
    </w:pPr>
  </w:style>
  <w:style w:type="character" w:customStyle="1" w:styleId="CommentTextChar">
    <w:name w:val="Comment Text Char"/>
    <w:basedOn w:val="DefaultParagraphFont"/>
    <w:link w:val="CommentText"/>
    <w:rsid w:val="00C63303"/>
    <w:rPr>
      <w:rFonts w:asciiTheme="minorHAnsi" w:hAnsiTheme="minorHAnsi" w:cstheme="minorHAnsi"/>
      <w:kern w:val="20"/>
      <w:lang w:val="en-AU" w:eastAsia="zh-CN"/>
    </w:rPr>
  </w:style>
  <w:style w:type="paragraph" w:styleId="CommentSubject">
    <w:name w:val="annotation subject"/>
    <w:basedOn w:val="CommentText"/>
    <w:next w:val="CommentText"/>
    <w:link w:val="CommentSubjectChar"/>
    <w:uiPriority w:val="97"/>
    <w:semiHidden/>
    <w:rsid w:val="00C63303"/>
    <w:rPr>
      <w:b/>
      <w:bCs/>
    </w:rPr>
  </w:style>
  <w:style w:type="character" w:customStyle="1" w:styleId="CommentSubjectChar">
    <w:name w:val="Comment Subject Char"/>
    <w:basedOn w:val="CommentTextChar"/>
    <w:link w:val="CommentSubject"/>
    <w:rsid w:val="00C63303"/>
    <w:rPr>
      <w:rFonts w:asciiTheme="minorHAnsi" w:hAnsiTheme="minorHAnsi" w:cstheme="minorHAnsi"/>
      <w:b/>
      <w:bCs/>
      <w:kern w:val="20"/>
      <w:lang w:val="en-AU" w:eastAsia="zh-CN"/>
    </w:rPr>
  </w:style>
  <w:style w:type="table" w:styleId="DarkList">
    <w:name w:val="Dark List"/>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A5D4"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1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9E" w:themeFill="accent1" w:themeFillShade="BF"/>
      </w:tcPr>
    </w:tblStylePr>
    <w:tblStylePr w:type="band1Vert">
      <w:tblPr/>
      <w:tcPr>
        <w:tcBorders>
          <w:top w:val="nil"/>
          <w:left w:val="nil"/>
          <w:bottom w:val="nil"/>
          <w:right w:val="nil"/>
          <w:insideH w:val="nil"/>
          <w:insideV w:val="nil"/>
        </w:tcBorders>
        <w:shd w:val="clear" w:color="auto" w:fill="007B9E" w:themeFill="accent1" w:themeFillShade="BF"/>
      </w:tcPr>
    </w:tblStylePr>
    <w:tblStylePr w:type="band1Horz">
      <w:tblPr/>
      <w:tcPr>
        <w:tcBorders>
          <w:top w:val="nil"/>
          <w:left w:val="nil"/>
          <w:bottom w:val="nil"/>
          <w:right w:val="nil"/>
          <w:insideH w:val="nil"/>
          <w:insideV w:val="nil"/>
        </w:tcBorders>
        <w:shd w:val="clear" w:color="auto" w:fill="007B9E"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3C42C"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68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B9D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B9D0B" w:themeFill="accent2" w:themeFillShade="BF"/>
      </w:tcPr>
    </w:tblStylePr>
    <w:tblStylePr w:type="band1Vert">
      <w:tblPr/>
      <w:tcPr>
        <w:tcBorders>
          <w:top w:val="nil"/>
          <w:left w:val="nil"/>
          <w:bottom w:val="nil"/>
          <w:right w:val="nil"/>
          <w:insideH w:val="nil"/>
          <w:insideV w:val="nil"/>
        </w:tcBorders>
        <w:shd w:val="clear" w:color="auto" w:fill="CB9D0B" w:themeFill="accent2" w:themeFillShade="BF"/>
      </w:tcPr>
    </w:tblStylePr>
    <w:tblStylePr w:type="band1Horz">
      <w:tblPr/>
      <w:tcPr>
        <w:tcBorders>
          <w:top w:val="nil"/>
          <w:left w:val="nil"/>
          <w:bottom w:val="nil"/>
          <w:right w:val="nil"/>
          <w:insideH w:val="nil"/>
          <w:insideV w:val="nil"/>
        </w:tcBorders>
        <w:shd w:val="clear" w:color="auto" w:fill="CB9D0B"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6AB9B"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5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07F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07F73" w:themeFill="accent3" w:themeFillShade="BF"/>
      </w:tcPr>
    </w:tblStylePr>
    <w:tblStylePr w:type="band1Vert">
      <w:tblPr/>
      <w:tcPr>
        <w:tcBorders>
          <w:top w:val="nil"/>
          <w:left w:val="nil"/>
          <w:bottom w:val="nil"/>
          <w:right w:val="nil"/>
          <w:insideH w:val="nil"/>
          <w:insideV w:val="nil"/>
        </w:tcBorders>
        <w:shd w:val="clear" w:color="auto" w:fill="107F73" w:themeFill="accent3" w:themeFillShade="BF"/>
      </w:tcPr>
    </w:tblStylePr>
    <w:tblStylePr w:type="band1Horz">
      <w:tblPr/>
      <w:tcPr>
        <w:tcBorders>
          <w:top w:val="nil"/>
          <w:left w:val="nil"/>
          <w:bottom w:val="nil"/>
          <w:right w:val="nil"/>
          <w:insideH w:val="nil"/>
          <w:insideV w:val="nil"/>
        </w:tcBorders>
        <w:shd w:val="clear" w:color="auto" w:fill="107F73"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589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B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D426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D426B" w:themeFill="accent4" w:themeFillShade="BF"/>
      </w:tcPr>
    </w:tblStylePr>
    <w:tblStylePr w:type="band1Vert">
      <w:tblPr/>
      <w:tcPr>
        <w:tcBorders>
          <w:top w:val="nil"/>
          <w:left w:val="nil"/>
          <w:bottom w:val="nil"/>
          <w:right w:val="nil"/>
          <w:insideH w:val="nil"/>
          <w:insideV w:val="nil"/>
        </w:tcBorders>
        <w:shd w:val="clear" w:color="auto" w:fill="4D426B" w:themeFill="accent4" w:themeFillShade="BF"/>
      </w:tcPr>
    </w:tblStylePr>
    <w:tblStylePr w:type="band1Horz">
      <w:tblPr/>
      <w:tcPr>
        <w:tcBorders>
          <w:top w:val="nil"/>
          <w:left w:val="nil"/>
          <w:bottom w:val="nil"/>
          <w:right w:val="nil"/>
          <w:insideH w:val="nil"/>
          <w:insideV w:val="nil"/>
        </w:tcBorders>
        <w:shd w:val="clear" w:color="auto" w:fill="4D426B"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C7761"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3B3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594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5948" w:themeFill="accent5" w:themeFillShade="BF"/>
      </w:tcPr>
    </w:tblStylePr>
    <w:tblStylePr w:type="band1Vert">
      <w:tblPr/>
      <w:tcPr>
        <w:tcBorders>
          <w:top w:val="nil"/>
          <w:left w:val="nil"/>
          <w:bottom w:val="nil"/>
          <w:right w:val="nil"/>
          <w:insideH w:val="nil"/>
          <w:insideV w:val="nil"/>
        </w:tcBorders>
        <w:shd w:val="clear" w:color="auto" w:fill="745948" w:themeFill="accent5" w:themeFillShade="BF"/>
      </w:tcPr>
    </w:tblStylePr>
    <w:tblStylePr w:type="band1Horz">
      <w:tblPr/>
      <w:tcPr>
        <w:tcBorders>
          <w:top w:val="nil"/>
          <w:left w:val="nil"/>
          <w:bottom w:val="nil"/>
          <w:right w:val="nil"/>
          <w:insideH w:val="nil"/>
          <w:insideV w:val="nil"/>
        </w:tcBorders>
        <w:shd w:val="clear" w:color="auto" w:fill="745948"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D123C"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6091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10D2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10D2C" w:themeFill="accent6" w:themeFillShade="BF"/>
      </w:tcPr>
    </w:tblStylePr>
    <w:tblStylePr w:type="band1Vert">
      <w:tblPr/>
      <w:tcPr>
        <w:tcBorders>
          <w:top w:val="nil"/>
          <w:left w:val="nil"/>
          <w:bottom w:val="nil"/>
          <w:right w:val="nil"/>
          <w:insideH w:val="nil"/>
          <w:insideV w:val="nil"/>
        </w:tcBorders>
        <w:shd w:val="clear" w:color="auto" w:fill="810D2C" w:themeFill="accent6" w:themeFillShade="BF"/>
      </w:tcPr>
    </w:tblStylePr>
    <w:tblStylePr w:type="band1Horz">
      <w:tblPr/>
      <w:tcPr>
        <w:tcBorders>
          <w:top w:val="nil"/>
          <w:left w:val="nil"/>
          <w:bottom w:val="nil"/>
          <w:right w:val="nil"/>
          <w:insideH w:val="nil"/>
          <w:insideV w:val="nil"/>
        </w:tcBorders>
        <w:shd w:val="clear" w:color="auto" w:fill="810D2C" w:themeFill="accent6" w:themeFillShade="BF"/>
      </w:tcPr>
    </w:tblStylePr>
  </w:style>
  <w:style w:type="paragraph" w:customStyle="1" w:styleId="TableHeading">
    <w:name w:val="Table Heading"/>
    <w:basedOn w:val="TableText"/>
    <w:qFormat/>
    <w:rsid w:val="002F792A"/>
    <w:pPr>
      <w:spacing w:before="90" w:after="90"/>
    </w:pPr>
    <w:rPr>
      <w:b/>
    </w:rPr>
  </w:style>
  <w:style w:type="paragraph" w:styleId="DocumentMap">
    <w:name w:val="Document Map"/>
    <w:basedOn w:val="Normal"/>
    <w:link w:val="DocumentMapChar"/>
    <w:uiPriority w:val="97"/>
    <w:semiHidden/>
    <w:rsid w:val="00C63303"/>
    <w:pPr>
      <w:spacing w:after="0" w:line="240" w:lineRule="auto"/>
    </w:pPr>
    <w:rPr>
      <w:sz w:val="16"/>
      <w:szCs w:val="16"/>
    </w:rPr>
  </w:style>
  <w:style w:type="character" w:customStyle="1" w:styleId="DocumentMapChar">
    <w:name w:val="Document Map Char"/>
    <w:basedOn w:val="DefaultParagraphFont"/>
    <w:link w:val="DocumentMap"/>
    <w:rsid w:val="00C63303"/>
    <w:rPr>
      <w:rFonts w:asciiTheme="minorHAnsi" w:hAnsiTheme="minorHAnsi" w:cstheme="minorHAnsi"/>
      <w:kern w:val="20"/>
      <w:sz w:val="16"/>
      <w:szCs w:val="16"/>
      <w:lang w:val="en-AU" w:eastAsia="zh-CN"/>
    </w:rPr>
  </w:style>
  <w:style w:type="paragraph" w:styleId="E-mailSignature">
    <w:name w:val="E-mail Signature"/>
    <w:basedOn w:val="Normal"/>
    <w:link w:val="E-mailSignatureChar"/>
    <w:uiPriority w:val="97"/>
    <w:semiHidden/>
    <w:rsid w:val="00C63303"/>
    <w:pPr>
      <w:spacing w:after="0" w:line="240" w:lineRule="auto"/>
    </w:pPr>
  </w:style>
  <w:style w:type="character" w:customStyle="1" w:styleId="E-mailSignatureChar">
    <w:name w:val="E-mail Signature Char"/>
    <w:basedOn w:val="DefaultParagraphFont"/>
    <w:link w:val="E-mailSignature"/>
    <w:rsid w:val="00C63303"/>
    <w:rPr>
      <w:rFonts w:asciiTheme="minorHAnsi" w:hAnsiTheme="minorHAnsi" w:cstheme="minorHAnsi"/>
      <w:kern w:val="20"/>
      <w:szCs w:val="24"/>
      <w:lang w:val="en-AU" w:eastAsia="zh-CN"/>
    </w:rPr>
  </w:style>
  <w:style w:type="character" w:styleId="Emphasis">
    <w:name w:val="Emphasis"/>
    <w:basedOn w:val="DefaultParagraphFont"/>
    <w:uiPriority w:val="97"/>
    <w:semiHidden/>
    <w:rsid w:val="00C63303"/>
    <w:rPr>
      <w:rFonts w:asciiTheme="minorHAnsi" w:hAnsiTheme="minorHAnsi" w:cstheme="minorHAnsi"/>
      <w:i/>
      <w:iCs/>
    </w:rPr>
  </w:style>
  <w:style w:type="character" w:styleId="EndnoteReference">
    <w:name w:val="endnote reference"/>
    <w:basedOn w:val="DefaultParagraphFont"/>
    <w:uiPriority w:val="97"/>
    <w:semiHidden/>
    <w:rsid w:val="00C63303"/>
    <w:rPr>
      <w:rFonts w:asciiTheme="minorHAnsi" w:hAnsiTheme="minorHAnsi" w:cstheme="minorHAnsi"/>
      <w:vertAlign w:val="superscript"/>
    </w:rPr>
  </w:style>
  <w:style w:type="paragraph" w:styleId="EndnoteText">
    <w:name w:val="endnote text"/>
    <w:basedOn w:val="Normal"/>
    <w:link w:val="EndnoteTextChar"/>
    <w:uiPriority w:val="97"/>
    <w:semiHidden/>
    <w:rsid w:val="00C63303"/>
    <w:pPr>
      <w:spacing w:after="0" w:line="240" w:lineRule="auto"/>
    </w:pPr>
  </w:style>
  <w:style w:type="character" w:customStyle="1" w:styleId="EndnoteTextChar">
    <w:name w:val="Endnote Text Char"/>
    <w:basedOn w:val="DefaultParagraphFont"/>
    <w:link w:val="EndnoteText"/>
    <w:rsid w:val="00C63303"/>
    <w:rPr>
      <w:rFonts w:asciiTheme="minorHAnsi" w:hAnsiTheme="minorHAnsi" w:cstheme="minorHAnsi"/>
      <w:kern w:val="20"/>
      <w:lang w:val="en-AU" w:eastAsia="zh-CN"/>
    </w:rPr>
  </w:style>
  <w:style w:type="paragraph" w:styleId="EnvelopeAddress">
    <w:name w:val="envelope address"/>
    <w:basedOn w:val="Normal"/>
    <w:uiPriority w:val="97"/>
    <w:semiHidden/>
    <w:rsid w:val="00C63303"/>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C63303"/>
    <w:pPr>
      <w:spacing w:after="0" w:line="240" w:lineRule="auto"/>
    </w:pPr>
    <w:rPr>
      <w:rFonts w:eastAsiaTheme="majorEastAsia"/>
    </w:rPr>
  </w:style>
  <w:style w:type="character" w:styleId="FollowedHyperlink">
    <w:name w:val="FollowedHyperlink"/>
    <w:basedOn w:val="DefaultParagraphFont"/>
    <w:uiPriority w:val="97"/>
    <w:semiHidden/>
    <w:rsid w:val="00C63303"/>
    <w:rPr>
      <w:rFonts w:asciiTheme="minorHAnsi" w:hAnsiTheme="minorHAnsi" w:cstheme="minorHAnsi"/>
      <w:color w:val="675890" w:themeColor="followedHyperlink"/>
      <w:u w:val="single"/>
    </w:rPr>
  </w:style>
  <w:style w:type="character" w:styleId="FootnoteReference">
    <w:name w:val="footnote reference"/>
    <w:basedOn w:val="DefaultParagraphFont"/>
    <w:uiPriority w:val="11"/>
    <w:semiHidden/>
    <w:rsid w:val="00C63303"/>
    <w:rPr>
      <w:rFonts w:asciiTheme="minorHAnsi" w:hAnsiTheme="minorHAnsi" w:cstheme="minorHAnsi"/>
      <w:vertAlign w:val="superscript"/>
    </w:rPr>
  </w:style>
  <w:style w:type="character" w:styleId="HTMLAcronym">
    <w:name w:val="HTML Acronym"/>
    <w:basedOn w:val="DefaultParagraphFont"/>
    <w:uiPriority w:val="97"/>
    <w:semiHidden/>
    <w:rsid w:val="00C63303"/>
    <w:rPr>
      <w:rFonts w:asciiTheme="minorHAnsi" w:hAnsiTheme="minorHAnsi" w:cstheme="minorHAnsi"/>
    </w:rPr>
  </w:style>
  <w:style w:type="paragraph" w:styleId="HTMLAddress">
    <w:name w:val="HTML Address"/>
    <w:basedOn w:val="Normal"/>
    <w:link w:val="HTMLAddressChar"/>
    <w:uiPriority w:val="97"/>
    <w:semiHidden/>
    <w:rsid w:val="00C63303"/>
    <w:pPr>
      <w:spacing w:after="0" w:line="240" w:lineRule="auto"/>
    </w:pPr>
    <w:rPr>
      <w:i/>
      <w:iCs/>
    </w:rPr>
  </w:style>
  <w:style w:type="character" w:customStyle="1" w:styleId="HTMLAddressChar">
    <w:name w:val="HTML Address Char"/>
    <w:basedOn w:val="DefaultParagraphFont"/>
    <w:link w:val="HTMLAddress"/>
    <w:rsid w:val="00C63303"/>
    <w:rPr>
      <w:rFonts w:asciiTheme="minorHAnsi" w:hAnsiTheme="minorHAnsi" w:cstheme="minorHAnsi"/>
      <w:i/>
      <w:iCs/>
      <w:kern w:val="20"/>
      <w:szCs w:val="24"/>
      <w:lang w:val="en-AU" w:eastAsia="zh-CN"/>
    </w:rPr>
  </w:style>
  <w:style w:type="character" w:styleId="HTMLCite">
    <w:name w:val="HTML Cite"/>
    <w:basedOn w:val="DefaultParagraphFont"/>
    <w:uiPriority w:val="97"/>
    <w:semiHidden/>
    <w:rsid w:val="00C63303"/>
    <w:rPr>
      <w:rFonts w:asciiTheme="minorHAnsi" w:hAnsiTheme="minorHAnsi" w:cstheme="minorHAnsi"/>
      <w:i/>
      <w:iCs/>
    </w:rPr>
  </w:style>
  <w:style w:type="character" w:styleId="HTMLCode">
    <w:name w:val="HTML Code"/>
    <w:basedOn w:val="DefaultParagraphFont"/>
    <w:uiPriority w:val="97"/>
    <w:semiHidden/>
    <w:rsid w:val="00C63303"/>
    <w:rPr>
      <w:rFonts w:ascii="Consolas" w:hAnsi="Consolas" w:cs="Consolas"/>
      <w:sz w:val="20"/>
      <w:szCs w:val="20"/>
    </w:rPr>
  </w:style>
  <w:style w:type="character" w:styleId="HTMLDefinition">
    <w:name w:val="HTML Definition"/>
    <w:basedOn w:val="DefaultParagraphFont"/>
    <w:uiPriority w:val="97"/>
    <w:semiHidden/>
    <w:rsid w:val="00C63303"/>
    <w:rPr>
      <w:rFonts w:asciiTheme="minorHAnsi" w:hAnsiTheme="minorHAnsi" w:cstheme="minorHAnsi"/>
      <w:i/>
      <w:iCs/>
    </w:rPr>
  </w:style>
  <w:style w:type="character" w:styleId="HTMLKeyboard">
    <w:name w:val="HTML Keyboard"/>
    <w:basedOn w:val="DefaultParagraphFont"/>
    <w:uiPriority w:val="97"/>
    <w:semiHidden/>
    <w:rsid w:val="00C63303"/>
    <w:rPr>
      <w:rFonts w:ascii="Consolas" w:hAnsi="Consolas" w:cs="Consolas"/>
      <w:sz w:val="20"/>
      <w:szCs w:val="20"/>
    </w:rPr>
  </w:style>
  <w:style w:type="paragraph" w:styleId="HTMLPreformatted">
    <w:name w:val="HTML Preformatted"/>
    <w:basedOn w:val="Normal"/>
    <w:link w:val="HTMLPreformattedChar"/>
    <w:uiPriority w:val="97"/>
    <w:semiHidden/>
    <w:rsid w:val="00C63303"/>
    <w:pPr>
      <w:spacing w:after="0" w:line="240" w:lineRule="auto"/>
    </w:pPr>
  </w:style>
  <w:style w:type="character" w:customStyle="1" w:styleId="HTMLPreformattedChar">
    <w:name w:val="HTML Preformatted Char"/>
    <w:basedOn w:val="DefaultParagraphFont"/>
    <w:link w:val="HTMLPreformatted"/>
    <w:rsid w:val="00C63303"/>
    <w:rPr>
      <w:rFonts w:asciiTheme="minorHAnsi" w:hAnsiTheme="minorHAnsi" w:cstheme="minorHAnsi"/>
      <w:kern w:val="20"/>
      <w:lang w:val="en-AU" w:eastAsia="zh-CN"/>
    </w:rPr>
  </w:style>
  <w:style w:type="character" w:styleId="HTMLSample">
    <w:name w:val="HTML Sample"/>
    <w:basedOn w:val="DefaultParagraphFont"/>
    <w:uiPriority w:val="97"/>
    <w:semiHidden/>
    <w:rsid w:val="00C63303"/>
    <w:rPr>
      <w:rFonts w:ascii="Consolas" w:hAnsi="Consolas" w:cs="Consolas"/>
      <w:sz w:val="24"/>
      <w:szCs w:val="24"/>
    </w:rPr>
  </w:style>
  <w:style w:type="character" w:styleId="HTMLTypewriter">
    <w:name w:val="HTML Typewriter"/>
    <w:basedOn w:val="DefaultParagraphFont"/>
    <w:uiPriority w:val="97"/>
    <w:semiHidden/>
    <w:rsid w:val="00C63303"/>
    <w:rPr>
      <w:rFonts w:ascii="Consolas" w:hAnsi="Consolas" w:cs="Consolas"/>
      <w:sz w:val="20"/>
      <w:szCs w:val="20"/>
    </w:rPr>
  </w:style>
  <w:style w:type="character" w:styleId="HTMLVariable">
    <w:name w:val="HTML Variable"/>
    <w:basedOn w:val="DefaultParagraphFont"/>
    <w:uiPriority w:val="97"/>
    <w:semiHidden/>
    <w:rsid w:val="00C63303"/>
    <w:rPr>
      <w:rFonts w:asciiTheme="minorHAnsi" w:hAnsiTheme="minorHAnsi" w:cstheme="minorHAnsi"/>
      <w:i/>
      <w:iCs/>
    </w:rPr>
  </w:style>
  <w:style w:type="character" w:styleId="Hyperlink">
    <w:name w:val="Hyperlink"/>
    <w:basedOn w:val="DefaultParagraphFont"/>
    <w:uiPriority w:val="97"/>
    <w:semiHidden/>
    <w:rsid w:val="00C63303"/>
    <w:rPr>
      <w:rFonts w:asciiTheme="minorHAnsi" w:hAnsiTheme="minorHAnsi" w:cstheme="minorHAnsi"/>
      <w:color w:val="15397F" w:themeColor="hyperlink"/>
      <w:u w:val="single"/>
    </w:rPr>
  </w:style>
  <w:style w:type="paragraph" w:styleId="Index1">
    <w:name w:val="index 1"/>
    <w:basedOn w:val="Normal"/>
    <w:next w:val="Normal"/>
    <w:autoRedefine/>
    <w:uiPriority w:val="97"/>
    <w:semiHidden/>
    <w:rsid w:val="00C63303"/>
    <w:pPr>
      <w:spacing w:after="0" w:line="240" w:lineRule="auto"/>
      <w:ind w:left="200" w:hanging="200"/>
    </w:pPr>
  </w:style>
  <w:style w:type="paragraph" w:styleId="Index2">
    <w:name w:val="index 2"/>
    <w:basedOn w:val="Normal"/>
    <w:next w:val="Normal"/>
    <w:autoRedefine/>
    <w:uiPriority w:val="97"/>
    <w:semiHidden/>
    <w:rsid w:val="00C63303"/>
    <w:pPr>
      <w:spacing w:after="0" w:line="240" w:lineRule="auto"/>
      <w:ind w:left="400" w:hanging="200"/>
    </w:pPr>
  </w:style>
  <w:style w:type="paragraph" w:styleId="Index3">
    <w:name w:val="index 3"/>
    <w:basedOn w:val="Normal"/>
    <w:next w:val="Normal"/>
    <w:autoRedefine/>
    <w:uiPriority w:val="97"/>
    <w:semiHidden/>
    <w:rsid w:val="00C63303"/>
    <w:pPr>
      <w:spacing w:after="0" w:line="240" w:lineRule="auto"/>
      <w:ind w:left="600" w:hanging="200"/>
    </w:pPr>
  </w:style>
  <w:style w:type="paragraph" w:styleId="Index4">
    <w:name w:val="index 4"/>
    <w:basedOn w:val="Normal"/>
    <w:next w:val="Normal"/>
    <w:autoRedefine/>
    <w:uiPriority w:val="97"/>
    <w:semiHidden/>
    <w:rsid w:val="00C63303"/>
    <w:pPr>
      <w:spacing w:after="0" w:line="240" w:lineRule="auto"/>
      <w:ind w:left="800" w:hanging="200"/>
    </w:pPr>
  </w:style>
  <w:style w:type="paragraph" w:styleId="Index5">
    <w:name w:val="index 5"/>
    <w:basedOn w:val="Normal"/>
    <w:next w:val="Normal"/>
    <w:autoRedefine/>
    <w:uiPriority w:val="97"/>
    <w:semiHidden/>
    <w:rsid w:val="00C63303"/>
    <w:pPr>
      <w:spacing w:after="0" w:line="240" w:lineRule="auto"/>
      <w:ind w:left="1000" w:hanging="200"/>
    </w:pPr>
  </w:style>
  <w:style w:type="paragraph" w:styleId="Index6">
    <w:name w:val="index 6"/>
    <w:basedOn w:val="Normal"/>
    <w:next w:val="Normal"/>
    <w:autoRedefine/>
    <w:uiPriority w:val="97"/>
    <w:semiHidden/>
    <w:rsid w:val="00C63303"/>
    <w:pPr>
      <w:spacing w:after="0" w:line="240" w:lineRule="auto"/>
      <w:ind w:left="1200" w:hanging="200"/>
    </w:pPr>
  </w:style>
  <w:style w:type="paragraph" w:styleId="Index7">
    <w:name w:val="index 7"/>
    <w:basedOn w:val="Normal"/>
    <w:next w:val="Normal"/>
    <w:autoRedefine/>
    <w:uiPriority w:val="97"/>
    <w:semiHidden/>
    <w:rsid w:val="00C63303"/>
    <w:pPr>
      <w:spacing w:after="0" w:line="240" w:lineRule="auto"/>
      <w:ind w:left="1400" w:hanging="200"/>
    </w:pPr>
  </w:style>
  <w:style w:type="paragraph" w:styleId="Index8">
    <w:name w:val="index 8"/>
    <w:basedOn w:val="Normal"/>
    <w:next w:val="Normal"/>
    <w:autoRedefine/>
    <w:uiPriority w:val="97"/>
    <w:semiHidden/>
    <w:rsid w:val="00C63303"/>
    <w:pPr>
      <w:spacing w:after="0" w:line="240" w:lineRule="auto"/>
      <w:ind w:left="1600" w:hanging="200"/>
    </w:pPr>
  </w:style>
  <w:style w:type="paragraph" w:styleId="Index9">
    <w:name w:val="index 9"/>
    <w:basedOn w:val="Normal"/>
    <w:next w:val="Normal"/>
    <w:autoRedefine/>
    <w:uiPriority w:val="97"/>
    <w:semiHidden/>
    <w:rsid w:val="00C63303"/>
    <w:pPr>
      <w:spacing w:after="0" w:line="240" w:lineRule="auto"/>
      <w:ind w:left="1800" w:hanging="200"/>
    </w:pPr>
  </w:style>
  <w:style w:type="paragraph" w:styleId="IndexHeading">
    <w:name w:val="index heading"/>
    <w:basedOn w:val="Normal"/>
    <w:next w:val="Index1"/>
    <w:uiPriority w:val="97"/>
    <w:semiHidden/>
    <w:rsid w:val="00C63303"/>
    <w:rPr>
      <w:rFonts w:asciiTheme="majorHAnsi" w:eastAsiaTheme="majorEastAsia" w:hAnsiTheme="majorHAnsi" w:cstheme="majorHAnsi"/>
      <w:b/>
      <w:bCs/>
    </w:rPr>
  </w:style>
  <w:style w:type="character" w:styleId="IntenseEmphasis">
    <w:name w:val="Intense Emphasis"/>
    <w:basedOn w:val="DefaultParagraphFont"/>
    <w:uiPriority w:val="97"/>
    <w:semiHidden/>
    <w:rsid w:val="00C63303"/>
    <w:rPr>
      <w:rFonts w:asciiTheme="minorHAnsi" w:hAnsiTheme="minorHAnsi" w:cstheme="minorHAnsi"/>
      <w:b/>
      <w:bCs/>
      <w:i/>
      <w:iCs/>
      <w:color w:val="00A5D4" w:themeColor="accent1"/>
    </w:rPr>
  </w:style>
  <w:style w:type="paragraph" w:styleId="IntenseQuote">
    <w:name w:val="Intense Quote"/>
    <w:basedOn w:val="Normal"/>
    <w:next w:val="Normal"/>
    <w:link w:val="IntenseQuoteChar"/>
    <w:uiPriority w:val="97"/>
    <w:semiHidden/>
    <w:rsid w:val="00C63303"/>
    <w:pPr>
      <w:pBdr>
        <w:bottom w:val="single" w:sz="4" w:space="4" w:color="00A5D4" w:themeColor="accent1"/>
      </w:pBdr>
      <w:spacing w:before="200" w:after="280"/>
      <w:ind w:left="936" w:right="936"/>
    </w:pPr>
    <w:rPr>
      <w:b/>
      <w:bCs/>
      <w:i/>
      <w:iCs/>
      <w:color w:val="00A5D4" w:themeColor="accent1"/>
    </w:rPr>
  </w:style>
  <w:style w:type="character" w:customStyle="1" w:styleId="IntenseQuoteChar">
    <w:name w:val="Intense Quote Char"/>
    <w:basedOn w:val="DefaultParagraphFont"/>
    <w:link w:val="IntenseQuote"/>
    <w:uiPriority w:val="30"/>
    <w:rsid w:val="00C63303"/>
    <w:rPr>
      <w:rFonts w:asciiTheme="minorHAnsi" w:hAnsiTheme="minorHAnsi" w:cstheme="minorHAnsi"/>
      <w:b/>
      <w:bCs/>
      <w:i/>
      <w:iCs/>
      <w:color w:val="00A5D4" w:themeColor="accent1"/>
      <w:kern w:val="20"/>
      <w:szCs w:val="24"/>
      <w:lang w:val="en-AU" w:eastAsia="zh-CN"/>
    </w:rPr>
  </w:style>
  <w:style w:type="character" w:styleId="IntenseReference">
    <w:name w:val="Intense Reference"/>
    <w:basedOn w:val="DefaultParagraphFont"/>
    <w:uiPriority w:val="97"/>
    <w:semiHidden/>
    <w:rsid w:val="00C63303"/>
    <w:rPr>
      <w:rFonts w:asciiTheme="minorHAnsi" w:hAnsiTheme="minorHAnsi" w:cstheme="minorHAnsi"/>
      <w:b/>
      <w:bCs/>
      <w:smallCaps/>
      <w:color w:val="F3C42C" w:themeColor="accent2"/>
      <w:spacing w:val="5"/>
      <w:u w:val="single"/>
    </w:rPr>
  </w:style>
  <w:style w:type="table" w:styleId="LightGrid">
    <w:name w:val="Light Grid"/>
    <w:basedOn w:val="TableNormal"/>
    <w:uiPriority w:val="98"/>
    <w:rsid w:val="00C6330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Ind w:w="0" w:type="dxa"/>
      <w:tblBorders>
        <w:top w:val="single" w:sz="8" w:space="0" w:color="00A5D4" w:themeColor="accent1"/>
        <w:left w:val="single" w:sz="8" w:space="0" w:color="00A5D4" w:themeColor="accent1"/>
        <w:bottom w:val="single" w:sz="8" w:space="0" w:color="00A5D4" w:themeColor="accent1"/>
        <w:right w:val="single" w:sz="8" w:space="0" w:color="00A5D4" w:themeColor="accent1"/>
        <w:insideH w:val="single" w:sz="8" w:space="0" w:color="00A5D4" w:themeColor="accent1"/>
        <w:insideV w:val="single" w:sz="8" w:space="0" w:color="00A5D4"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A5D4" w:themeColor="accent1"/>
          <w:left w:val="single" w:sz="8" w:space="0" w:color="00A5D4" w:themeColor="accent1"/>
          <w:bottom w:val="single" w:sz="18" w:space="0" w:color="00A5D4" w:themeColor="accent1"/>
          <w:right w:val="single" w:sz="8" w:space="0" w:color="00A5D4" w:themeColor="accent1"/>
          <w:insideH w:val="nil"/>
          <w:insideV w:val="single" w:sz="8" w:space="0" w:color="00A5D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D4" w:themeColor="accent1"/>
          <w:left w:val="single" w:sz="8" w:space="0" w:color="00A5D4" w:themeColor="accent1"/>
          <w:bottom w:val="single" w:sz="8" w:space="0" w:color="00A5D4" w:themeColor="accent1"/>
          <w:right w:val="single" w:sz="8" w:space="0" w:color="00A5D4" w:themeColor="accent1"/>
          <w:insideH w:val="nil"/>
          <w:insideV w:val="single" w:sz="8" w:space="0" w:color="00A5D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D4" w:themeColor="accent1"/>
          <w:left w:val="single" w:sz="8" w:space="0" w:color="00A5D4" w:themeColor="accent1"/>
          <w:bottom w:val="single" w:sz="8" w:space="0" w:color="00A5D4" w:themeColor="accent1"/>
          <w:right w:val="single" w:sz="8" w:space="0" w:color="00A5D4" w:themeColor="accent1"/>
        </w:tcBorders>
      </w:tcPr>
    </w:tblStylePr>
    <w:tblStylePr w:type="band1Vert">
      <w:tblPr/>
      <w:tcPr>
        <w:tcBorders>
          <w:top w:val="single" w:sz="8" w:space="0" w:color="00A5D4" w:themeColor="accent1"/>
          <w:left w:val="single" w:sz="8" w:space="0" w:color="00A5D4" w:themeColor="accent1"/>
          <w:bottom w:val="single" w:sz="8" w:space="0" w:color="00A5D4" w:themeColor="accent1"/>
          <w:right w:val="single" w:sz="8" w:space="0" w:color="00A5D4" w:themeColor="accent1"/>
        </w:tcBorders>
        <w:shd w:val="clear" w:color="auto" w:fill="B5EEFF" w:themeFill="accent1" w:themeFillTint="3F"/>
      </w:tcPr>
    </w:tblStylePr>
    <w:tblStylePr w:type="band1Horz">
      <w:tblPr/>
      <w:tcPr>
        <w:tcBorders>
          <w:top w:val="single" w:sz="8" w:space="0" w:color="00A5D4" w:themeColor="accent1"/>
          <w:left w:val="single" w:sz="8" w:space="0" w:color="00A5D4" w:themeColor="accent1"/>
          <w:bottom w:val="single" w:sz="8" w:space="0" w:color="00A5D4" w:themeColor="accent1"/>
          <w:right w:val="single" w:sz="8" w:space="0" w:color="00A5D4" w:themeColor="accent1"/>
          <w:insideV w:val="single" w:sz="8" w:space="0" w:color="00A5D4" w:themeColor="accent1"/>
        </w:tcBorders>
        <w:shd w:val="clear" w:color="auto" w:fill="B5EEFF" w:themeFill="accent1" w:themeFillTint="3F"/>
      </w:tcPr>
    </w:tblStylePr>
    <w:tblStylePr w:type="band2Horz">
      <w:tblPr/>
      <w:tcPr>
        <w:tcBorders>
          <w:top w:val="single" w:sz="8" w:space="0" w:color="00A5D4" w:themeColor="accent1"/>
          <w:left w:val="single" w:sz="8" w:space="0" w:color="00A5D4" w:themeColor="accent1"/>
          <w:bottom w:val="single" w:sz="8" w:space="0" w:color="00A5D4" w:themeColor="accent1"/>
          <w:right w:val="single" w:sz="8" w:space="0" w:color="00A5D4" w:themeColor="accent1"/>
          <w:insideV w:val="single" w:sz="8" w:space="0" w:color="00A5D4" w:themeColor="accent1"/>
        </w:tcBorders>
      </w:tcPr>
    </w:tblStylePr>
  </w:style>
  <w:style w:type="table" w:styleId="LightGrid-Accent2">
    <w:name w:val="Light Grid Accent 2"/>
    <w:basedOn w:val="TableNormal"/>
    <w:uiPriority w:val="98"/>
    <w:rsid w:val="00C63303"/>
    <w:tblPr>
      <w:tblStyleRowBandSize w:val="1"/>
      <w:tblStyleColBandSize w:val="1"/>
      <w:tblInd w:w="0" w:type="dxa"/>
      <w:tblBorders>
        <w:top w:val="single" w:sz="8" w:space="0" w:color="F3C42C" w:themeColor="accent2"/>
        <w:left w:val="single" w:sz="8" w:space="0" w:color="F3C42C" w:themeColor="accent2"/>
        <w:bottom w:val="single" w:sz="8" w:space="0" w:color="F3C42C" w:themeColor="accent2"/>
        <w:right w:val="single" w:sz="8" w:space="0" w:color="F3C42C" w:themeColor="accent2"/>
        <w:insideH w:val="single" w:sz="8" w:space="0" w:color="F3C42C" w:themeColor="accent2"/>
        <w:insideV w:val="single" w:sz="8" w:space="0" w:color="F3C42C"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3C42C" w:themeColor="accent2"/>
          <w:left w:val="single" w:sz="8" w:space="0" w:color="F3C42C" w:themeColor="accent2"/>
          <w:bottom w:val="single" w:sz="18" w:space="0" w:color="F3C42C" w:themeColor="accent2"/>
          <w:right w:val="single" w:sz="8" w:space="0" w:color="F3C42C" w:themeColor="accent2"/>
          <w:insideH w:val="nil"/>
          <w:insideV w:val="single" w:sz="8" w:space="0" w:color="F3C42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C42C" w:themeColor="accent2"/>
          <w:left w:val="single" w:sz="8" w:space="0" w:color="F3C42C" w:themeColor="accent2"/>
          <w:bottom w:val="single" w:sz="8" w:space="0" w:color="F3C42C" w:themeColor="accent2"/>
          <w:right w:val="single" w:sz="8" w:space="0" w:color="F3C42C" w:themeColor="accent2"/>
          <w:insideH w:val="nil"/>
          <w:insideV w:val="single" w:sz="8" w:space="0" w:color="F3C42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C42C" w:themeColor="accent2"/>
          <w:left w:val="single" w:sz="8" w:space="0" w:color="F3C42C" w:themeColor="accent2"/>
          <w:bottom w:val="single" w:sz="8" w:space="0" w:color="F3C42C" w:themeColor="accent2"/>
          <w:right w:val="single" w:sz="8" w:space="0" w:color="F3C42C" w:themeColor="accent2"/>
        </w:tcBorders>
      </w:tcPr>
    </w:tblStylePr>
    <w:tblStylePr w:type="band1Vert">
      <w:tblPr/>
      <w:tcPr>
        <w:tcBorders>
          <w:top w:val="single" w:sz="8" w:space="0" w:color="F3C42C" w:themeColor="accent2"/>
          <w:left w:val="single" w:sz="8" w:space="0" w:color="F3C42C" w:themeColor="accent2"/>
          <w:bottom w:val="single" w:sz="8" w:space="0" w:color="F3C42C" w:themeColor="accent2"/>
          <w:right w:val="single" w:sz="8" w:space="0" w:color="F3C42C" w:themeColor="accent2"/>
        </w:tcBorders>
        <w:shd w:val="clear" w:color="auto" w:fill="FCF0CA" w:themeFill="accent2" w:themeFillTint="3F"/>
      </w:tcPr>
    </w:tblStylePr>
    <w:tblStylePr w:type="band1Horz">
      <w:tblPr/>
      <w:tcPr>
        <w:tcBorders>
          <w:top w:val="single" w:sz="8" w:space="0" w:color="F3C42C" w:themeColor="accent2"/>
          <w:left w:val="single" w:sz="8" w:space="0" w:color="F3C42C" w:themeColor="accent2"/>
          <w:bottom w:val="single" w:sz="8" w:space="0" w:color="F3C42C" w:themeColor="accent2"/>
          <w:right w:val="single" w:sz="8" w:space="0" w:color="F3C42C" w:themeColor="accent2"/>
          <w:insideV w:val="single" w:sz="8" w:space="0" w:color="F3C42C" w:themeColor="accent2"/>
        </w:tcBorders>
        <w:shd w:val="clear" w:color="auto" w:fill="FCF0CA" w:themeFill="accent2" w:themeFillTint="3F"/>
      </w:tcPr>
    </w:tblStylePr>
    <w:tblStylePr w:type="band2Horz">
      <w:tblPr/>
      <w:tcPr>
        <w:tcBorders>
          <w:top w:val="single" w:sz="8" w:space="0" w:color="F3C42C" w:themeColor="accent2"/>
          <w:left w:val="single" w:sz="8" w:space="0" w:color="F3C42C" w:themeColor="accent2"/>
          <w:bottom w:val="single" w:sz="8" w:space="0" w:color="F3C42C" w:themeColor="accent2"/>
          <w:right w:val="single" w:sz="8" w:space="0" w:color="F3C42C" w:themeColor="accent2"/>
          <w:insideV w:val="single" w:sz="8" w:space="0" w:color="F3C42C" w:themeColor="accent2"/>
        </w:tcBorders>
      </w:tcPr>
    </w:tblStylePr>
  </w:style>
  <w:style w:type="table" w:styleId="LightGrid-Accent3">
    <w:name w:val="Light Grid Accent 3"/>
    <w:basedOn w:val="TableNormal"/>
    <w:uiPriority w:val="98"/>
    <w:rsid w:val="00C63303"/>
    <w:tblPr>
      <w:tblStyleRowBandSize w:val="1"/>
      <w:tblStyleColBandSize w:val="1"/>
      <w:tblInd w:w="0" w:type="dxa"/>
      <w:tblBorders>
        <w:top w:val="single" w:sz="8" w:space="0" w:color="16AB9B" w:themeColor="accent3"/>
        <w:left w:val="single" w:sz="8" w:space="0" w:color="16AB9B" w:themeColor="accent3"/>
        <w:bottom w:val="single" w:sz="8" w:space="0" w:color="16AB9B" w:themeColor="accent3"/>
        <w:right w:val="single" w:sz="8" w:space="0" w:color="16AB9B" w:themeColor="accent3"/>
        <w:insideH w:val="single" w:sz="8" w:space="0" w:color="16AB9B" w:themeColor="accent3"/>
        <w:insideV w:val="single" w:sz="8" w:space="0" w:color="16AB9B"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16AB9B" w:themeColor="accent3"/>
          <w:left w:val="single" w:sz="8" w:space="0" w:color="16AB9B" w:themeColor="accent3"/>
          <w:bottom w:val="single" w:sz="18" w:space="0" w:color="16AB9B" w:themeColor="accent3"/>
          <w:right w:val="single" w:sz="8" w:space="0" w:color="16AB9B" w:themeColor="accent3"/>
          <w:insideH w:val="nil"/>
          <w:insideV w:val="single" w:sz="8" w:space="0" w:color="16AB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AB9B" w:themeColor="accent3"/>
          <w:left w:val="single" w:sz="8" w:space="0" w:color="16AB9B" w:themeColor="accent3"/>
          <w:bottom w:val="single" w:sz="8" w:space="0" w:color="16AB9B" w:themeColor="accent3"/>
          <w:right w:val="single" w:sz="8" w:space="0" w:color="16AB9B" w:themeColor="accent3"/>
          <w:insideH w:val="nil"/>
          <w:insideV w:val="single" w:sz="8" w:space="0" w:color="16AB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AB9B" w:themeColor="accent3"/>
          <w:left w:val="single" w:sz="8" w:space="0" w:color="16AB9B" w:themeColor="accent3"/>
          <w:bottom w:val="single" w:sz="8" w:space="0" w:color="16AB9B" w:themeColor="accent3"/>
          <w:right w:val="single" w:sz="8" w:space="0" w:color="16AB9B" w:themeColor="accent3"/>
        </w:tcBorders>
      </w:tcPr>
    </w:tblStylePr>
    <w:tblStylePr w:type="band1Vert">
      <w:tblPr/>
      <w:tcPr>
        <w:tcBorders>
          <w:top w:val="single" w:sz="8" w:space="0" w:color="16AB9B" w:themeColor="accent3"/>
          <w:left w:val="single" w:sz="8" w:space="0" w:color="16AB9B" w:themeColor="accent3"/>
          <w:bottom w:val="single" w:sz="8" w:space="0" w:color="16AB9B" w:themeColor="accent3"/>
          <w:right w:val="single" w:sz="8" w:space="0" w:color="16AB9B" w:themeColor="accent3"/>
        </w:tcBorders>
        <w:shd w:val="clear" w:color="auto" w:fill="B9F6EF" w:themeFill="accent3" w:themeFillTint="3F"/>
      </w:tcPr>
    </w:tblStylePr>
    <w:tblStylePr w:type="band1Horz">
      <w:tblPr/>
      <w:tcPr>
        <w:tcBorders>
          <w:top w:val="single" w:sz="8" w:space="0" w:color="16AB9B" w:themeColor="accent3"/>
          <w:left w:val="single" w:sz="8" w:space="0" w:color="16AB9B" w:themeColor="accent3"/>
          <w:bottom w:val="single" w:sz="8" w:space="0" w:color="16AB9B" w:themeColor="accent3"/>
          <w:right w:val="single" w:sz="8" w:space="0" w:color="16AB9B" w:themeColor="accent3"/>
          <w:insideV w:val="single" w:sz="8" w:space="0" w:color="16AB9B" w:themeColor="accent3"/>
        </w:tcBorders>
        <w:shd w:val="clear" w:color="auto" w:fill="B9F6EF" w:themeFill="accent3" w:themeFillTint="3F"/>
      </w:tcPr>
    </w:tblStylePr>
    <w:tblStylePr w:type="band2Horz">
      <w:tblPr/>
      <w:tcPr>
        <w:tcBorders>
          <w:top w:val="single" w:sz="8" w:space="0" w:color="16AB9B" w:themeColor="accent3"/>
          <w:left w:val="single" w:sz="8" w:space="0" w:color="16AB9B" w:themeColor="accent3"/>
          <w:bottom w:val="single" w:sz="8" w:space="0" w:color="16AB9B" w:themeColor="accent3"/>
          <w:right w:val="single" w:sz="8" w:space="0" w:color="16AB9B" w:themeColor="accent3"/>
          <w:insideV w:val="single" w:sz="8" w:space="0" w:color="16AB9B" w:themeColor="accent3"/>
        </w:tcBorders>
      </w:tcPr>
    </w:tblStylePr>
  </w:style>
  <w:style w:type="table" w:styleId="LightGrid-Accent4">
    <w:name w:val="Light Grid Accent 4"/>
    <w:basedOn w:val="TableNormal"/>
    <w:uiPriority w:val="98"/>
    <w:rsid w:val="00C63303"/>
    <w:tblPr>
      <w:tblStyleRowBandSize w:val="1"/>
      <w:tblStyleColBandSize w:val="1"/>
      <w:tblInd w:w="0" w:type="dxa"/>
      <w:tblBorders>
        <w:top w:val="single" w:sz="8" w:space="0" w:color="675890" w:themeColor="accent4"/>
        <w:left w:val="single" w:sz="8" w:space="0" w:color="675890" w:themeColor="accent4"/>
        <w:bottom w:val="single" w:sz="8" w:space="0" w:color="675890" w:themeColor="accent4"/>
        <w:right w:val="single" w:sz="8" w:space="0" w:color="675890" w:themeColor="accent4"/>
        <w:insideH w:val="single" w:sz="8" w:space="0" w:color="675890" w:themeColor="accent4"/>
        <w:insideV w:val="single" w:sz="8" w:space="0" w:color="67589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75890" w:themeColor="accent4"/>
          <w:left w:val="single" w:sz="8" w:space="0" w:color="675890" w:themeColor="accent4"/>
          <w:bottom w:val="single" w:sz="18" w:space="0" w:color="675890" w:themeColor="accent4"/>
          <w:right w:val="single" w:sz="8" w:space="0" w:color="675890" w:themeColor="accent4"/>
          <w:insideH w:val="nil"/>
          <w:insideV w:val="single" w:sz="8" w:space="0" w:color="6758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890" w:themeColor="accent4"/>
          <w:left w:val="single" w:sz="8" w:space="0" w:color="675890" w:themeColor="accent4"/>
          <w:bottom w:val="single" w:sz="8" w:space="0" w:color="675890" w:themeColor="accent4"/>
          <w:right w:val="single" w:sz="8" w:space="0" w:color="675890" w:themeColor="accent4"/>
          <w:insideH w:val="nil"/>
          <w:insideV w:val="single" w:sz="8" w:space="0" w:color="6758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890" w:themeColor="accent4"/>
          <w:left w:val="single" w:sz="8" w:space="0" w:color="675890" w:themeColor="accent4"/>
          <w:bottom w:val="single" w:sz="8" w:space="0" w:color="675890" w:themeColor="accent4"/>
          <w:right w:val="single" w:sz="8" w:space="0" w:color="675890" w:themeColor="accent4"/>
        </w:tcBorders>
      </w:tcPr>
    </w:tblStylePr>
    <w:tblStylePr w:type="band1Vert">
      <w:tblPr/>
      <w:tcPr>
        <w:tcBorders>
          <w:top w:val="single" w:sz="8" w:space="0" w:color="675890" w:themeColor="accent4"/>
          <w:left w:val="single" w:sz="8" w:space="0" w:color="675890" w:themeColor="accent4"/>
          <w:bottom w:val="single" w:sz="8" w:space="0" w:color="675890" w:themeColor="accent4"/>
          <w:right w:val="single" w:sz="8" w:space="0" w:color="675890" w:themeColor="accent4"/>
        </w:tcBorders>
        <w:shd w:val="clear" w:color="auto" w:fill="D8D4E4" w:themeFill="accent4" w:themeFillTint="3F"/>
      </w:tcPr>
    </w:tblStylePr>
    <w:tblStylePr w:type="band1Horz">
      <w:tblPr/>
      <w:tcPr>
        <w:tcBorders>
          <w:top w:val="single" w:sz="8" w:space="0" w:color="675890" w:themeColor="accent4"/>
          <w:left w:val="single" w:sz="8" w:space="0" w:color="675890" w:themeColor="accent4"/>
          <w:bottom w:val="single" w:sz="8" w:space="0" w:color="675890" w:themeColor="accent4"/>
          <w:right w:val="single" w:sz="8" w:space="0" w:color="675890" w:themeColor="accent4"/>
          <w:insideV w:val="single" w:sz="8" w:space="0" w:color="675890" w:themeColor="accent4"/>
        </w:tcBorders>
        <w:shd w:val="clear" w:color="auto" w:fill="D8D4E4" w:themeFill="accent4" w:themeFillTint="3F"/>
      </w:tcPr>
    </w:tblStylePr>
    <w:tblStylePr w:type="band2Horz">
      <w:tblPr/>
      <w:tcPr>
        <w:tcBorders>
          <w:top w:val="single" w:sz="8" w:space="0" w:color="675890" w:themeColor="accent4"/>
          <w:left w:val="single" w:sz="8" w:space="0" w:color="675890" w:themeColor="accent4"/>
          <w:bottom w:val="single" w:sz="8" w:space="0" w:color="675890" w:themeColor="accent4"/>
          <w:right w:val="single" w:sz="8" w:space="0" w:color="675890" w:themeColor="accent4"/>
          <w:insideV w:val="single" w:sz="8" w:space="0" w:color="675890" w:themeColor="accent4"/>
        </w:tcBorders>
      </w:tcPr>
    </w:tblStylePr>
  </w:style>
  <w:style w:type="table" w:styleId="LightGrid-Accent5">
    <w:name w:val="Light Grid Accent 5"/>
    <w:basedOn w:val="TableNormal"/>
    <w:uiPriority w:val="98"/>
    <w:rsid w:val="00C63303"/>
    <w:tblPr>
      <w:tblStyleRowBandSize w:val="1"/>
      <w:tblStyleColBandSize w:val="1"/>
      <w:tblInd w:w="0" w:type="dxa"/>
      <w:tblBorders>
        <w:top w:val="single" w:sz="8" w:space="0" w:color="9C7761" w:themeColor="accent5"/>
        <w:left w:val="single" w:sz="8" w:space="0" w:color="9C7761" w:themeColor="accent5"/>
        <w:bottom w:val="single" w:sz="8" w:space="0" w:color="9C7761" w:themeColor="accent5"/>
        <w:right w:val="single" w:sz="8" w:space="0" w:color="9C7761" w:themeColor="accent5"/>
        <w:insideH w:val="single" w:sz="8" w:space="0" w:color="9C7761" w:themeColor="accent5"/>
        <w:insideV w:val="single" w:sz="8" w:space="0" w:color="9C7761"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C7761" w:themeColor="accent5"/>
          <w:left w:val="single" w:sz="8" w:space="0" w:color="9C7761" w:themeColor="accent5"/>
          <w:bottom w:val="single" w:sz="18" w:space="0" w:color="9C7761" w:themeColor="accent5"/>
          <w:right w:val="single" w:sz="8" w:space="0" w:color="9C7761" w:themeColor="accent5"/>
          <w:insideH w:val="nil"/>
          <w:insideV w:val="single" w:sz="8" w:space="0" w:color="9C776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7761" w:themeColor="accent5"/>
          <w:left w:val="single" w:sz="8" w:space="0" w:color="9C7761" w:themeColor="accent5"/>
          <w:bottom w:val="single" w:sz="8" w:space="0" w:color="9C7761" w:themeColor="accent5"/>
          <w:right w:val="single" w:sz="8" w:space="0" w:color="9C7761" w:themeColor="accent5"/>
          <w:insideH w:val="nil"/>
          <w:insideV w:val="single" w:sz="8" w:space="0" w:color="9C776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7761" w:themeColor="accent5"/>
          <w:left w:val="single" w:sz="8" w:space="0" w:color="9C7761" w:themeColor="accent5"/>
          <w:bottom w:val="single" w:sz="8" w:space="0" w:color="9C7761" w:themeColor="accent5"/>
          <w:right w:val="single" w:sz="8" w:space="0" w:color="9C7761" w:themeColor="accent5"/>
        </w:tcBorders>
      </w:tcPr>
    </w:tblStylePr>
    <w:tblStylePr w:type="band1Vert">
      <w:tblPr/>
      <w:tcPr>
        <w:tcBorders>
          <w:top w:val="single" w:sz="8" w:space="0" w:color="9C7761" w:themeColor="accent5"/>
          <w:left w:val="single" w:sz="8" w:space="0" w:color="9C7761" w:themeColor="accent5"/>
          <w:bottom w:val="single" w:sz="8" w:space="0" w:color="9C7761" w:themeColor="accent5"/>
          <w:right w:val="single" w:sz="8" w:space="0" w:color="9C7761" w:themeColor="accent5"/>
        </w:tcBorders>
        <w:shd w:val="clear" w:color="auto" w:fill="E6DDD7" w:themeFill="accent5" w:themeFillTint="3F"/>
      </w:tcPr>
    </w:tblStylePr>
    <w:tblStylePr w:type="band1Horz">
      <w:tblPr/>
      <w:tcPr>
        <w:tcBorders>
          <w:top w:val="single" w:sz="8" w:space="0" w:color="9C7761" w:themeColor="accent5"/>
          <w:left w:val="single" w:sz="8" w:space="0" w:color="9C7761" w:themeColor="accent5"/>
          <w:bottom w:val="single" w:sz="8" w:space="0" w:color="9C7761" w:themeColor="accent5"/>
          <w:right w:val="single" w:sz="8" w:space="0" w:color="9C7761" w:themeColor="accent5"/>
          <w:insideV w:val="single" w:sz="8" w:space="0" w:color="9C7761" w:themeColor="accent5"/>
        </w:tcBorders>
        <w:shd w:val="clear" w:color="auto" w:fill="E6DDD7" w:themeFill="accent5" w:themeFillTint="3F"/>
      </w:tcPr>
    </w:tblStylePr>
    <w:tblStylePr w:type="band2Horz">
      <w:tblPr/>
      <w:tcPr>
        <w:tcBorders>
          <w:top w:val="single" w:sz="8" w:space="0" w:color="9C7761" w:themeColor="accent5"/>
          <w:left w:val="single" w:sz="8" w:space="0" w:color="9C7761" w:themeColor="accent5"/>
          <w:bottom w:val="single" w:sz="8" w:space="0" w:color="9C7761" w:themeColor="accent5"/>
          <w:right w:val="single" w:sz="8" w:space="0" w:color="9C7761" w:themeColor="accent5"/>
          <w:insideV w:val="single" w:sz="8" w:space="0" w:color="9C7761" w:themeColor="accent5"/>
        </w:tcBorders>
      </w:tcPr>
    </w:tblStylePr>
  </w:style>
  <w:style w:type="table" w:styleId="LightGrid-Accent6">
    <w:name w:val="Light Grid Accent 6"/>
    <w:basedOn w:val="TableNormal"/>
    <w:uiPriority w:val="98"/>
    <w:rsid w:val="00C63303"/>
    <w:tblPr>
      <w:tblStyleRowBandSize w:val="1"/>
      <w:tblStyleColBandSize w:val="1"/>
      <w:tblInd w:w="0" w:type="dxa"/>
      <w:tblBorders>
        <w:top w:val="single" w:sz="8" w:space="0" w:color="AD123C" w:themeColor="accent6"/>
        <w:left w:val="single" w:sz="8" w:space="0" w:color="AD123C" w:themeColor="accent6"/>
        <w:bottom w:val="single" w:sz="8" w:space="0" w:color="AD123C" w:themeColor="accent6"/>
        <w:right w:val="single" w:sz="8" w:space="0" w:color="AD123C" w:themeColor="accent6"/>
        <w:insideH w:val="single" w:sz="8" w:space="0" w:color="AD123C" w:themeColor="accent6"/>
        <w:insideV w:val="single" w:sz="8" w:space="0" w:color="AD123C"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D123C" w:themeColor="accent6"/>
          <w:left w:val="single" w:sz="8" w:space="0" w:color="AD123C" w:themeColor="accent6"/>
          <w:bottom w:val="single" w:sz="18" w:space="0" w:color="AD123C" w:themeColor="accent6"/>
          <w:right w:val="single" w:sz="8" w:space="0" w:color="AD123C" w:themeColor="accent6"/>
          <w:insideH w:val="nil"/>
          <w:insideV w:val="single" w:sz="8" w:space="0" w:color="AD12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123C" w:themeColor="accent6"/>
          <w:left w:val="single" w:sz="8" w:space="0" w:color="AD123C" w:themeColor="accent6"/>
          <w:bottom w:val="single" w:sz="8" w:space="0" w:color="AD123C" w:themeColor="accent6"/>
          <w:right w:val="single" w:sz="8" w:space="0" w:color="AD123C" w:themeColor="accent6"/>
          <w:insideH w:val="nil"/>
          <w:insideV w:val="single" w:sz="8" w:space="0" w:color="AD12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123C" w:themeColor="accent6"/>
          <w:left w:val="single" w:sz="8" w:space="0" w:color="AD123C" w:themeColor="accent6"/>
          <w:bottom w:val="single" w:sz="8" w:space="0" w:color="AD123C" w:themeColor="accent6"/>
          <w:right w:val="single" w:sz="8" w:space="0" w:color="AD123C" w:themeColor="accent6"/>
        </w:tcBorders>
      </w:tcPr>
    </w:tblStylePr>
    <w:tblStylePr w:type="band1Vert">
      <w:tblPr/>
      <w:tcPr>
        <w:tcBorders>
          <w:top w:val="single" w:sz="8" w:space="0" w:color="AD123C" w:themeColor="accent6"/>
          <w:left w:val="single" w:sz="8" w:space="0" w:color="AD123C" w:themeColor="accent6"/>
          <w:bottom w:val="single" w:sz="8" w:space="0" w:color="AD123C" w:themeColor="accent6"/>
          <w:right w:val="single" w:sz="8" w:space="0" w:color="AD123C" w:themeColor="accent6"/>
        </w:tcBorders>
        <w:shd w:val="clear" w:color="auto" w:fill="F7B7C8" w:themeFill="accent6" w:themeFillTint="3F"/>
      </w:tcPr>
    </w:tblStylePr>
    <w:tblStylePr w:type="band1Horz">
      <w:tblPr/>
      <w:tcPr>
        <w:tcBorders>
          <w:top w:val="single" w:sz="8" w:space="0" w:color="AD123C" w:themeColor="accent6"/>
          <w:left w:val="single" w:sz="8" w:space="0" w:color="AD123C" w:themeColor="accent6"/>
          <w:bottom w:val="single" w:sz="8" w:space="0" w:color="AD123C" w:themeColor="accent6"/>
          <w:right w:val="single" w:sz="8" w:space="0" w:color="AD123C" w:themeColor="accent6"/>
          <w:insideV w:val="single" w:sz="8" w:space="0" w:color="AD123C" w:themeColor="accent6"/>
        </w:tcBorders>
        <w:shd w:val="clear" w:color="auto" w:fill="F7B7C8" w:themeFill="accent6" w:themeFillTint="3F"/>
      </w:tcPr>
    </w:tblStylePr>
    <w:tblStylePr w:type="band2Horz">
      <w:tblPr/>
      <w:tcPr>
        <w:tcBorders>
          <w:top w:val="single" w:sz="8" w:space="0" w:color="AD123C" w:themeColor="accent6"/>
          <w:left w:val="single" w:sz="8" w:space="0" w:color="AD123C" w:themeColor="accent6"/>
          <w:bottom w:val="single" w:sz="8" w:space="0" w:color="AD123C" w:themeColor="accent6"/>
          <w:right w:val="single" w:sz="8" w:space="0" w:color="AD123C" w:themeColor="accent6"/>
          <w:insideV w:val="single" w:sz="8" w:space="0" w:color="AD123C" w:themeColor="accent6"/>
        </w:tcBorders>
      </w:tcPr>
    </w:tblStylePr>
  </w:style>
  <w:style w:type="table" w:styleId="LightList">
    <w:name w:val="Light List"/>
    <w:basedOn w:val="TableNormal"/>
    <w:uiPriority w:val="98"/>
    <w:rsid w:val="00C6330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Ind w:w="0" w:type="dxa"/>
      <w:tblBorders>
        <w:top w:val="single" w:sz="8" w:space="0" w:color="00A5D4" w:themeColor="accent1"/>
        <w:left w:val="single" w:sz="8" w:space="0" w:color="00A5D4" w:themeColor="accent1"/>
        <w:bottom w:val="single" w:sz="8" w:space="0" w:color="00A5D4" w:themeColor="accent1"/>
        <w:right w:val="single" w:sz="8" w:space="0" w:color="00A5D4"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A5D4" w:themeFill="accent1"/>
      </w:tcPr>
    </w:tblStylePr>
    <w:tblStylePr w:type="lastRow">
      <w:pPr>
        <w:spacing w:before="0" w:after="0" w:line="240" w:lineRule="auto"/>
      </w:pPr>
      <w:rPr>
        <w:b/>
        <w:bCs/>
      </w:rPr>
      <w:tblPr/>
      <w:tcPr>
        <w:tcBorders>
          <w:top w:val="double" w:sz="6" w:space="0" w:color="00A5D4" w:themeColor="accent1"/>
          <w:left w:val="single" w:sz="8" w:space="0" w:color="00A5D4" w:themeColor="accent1"/>
          <w:bottom w:val="single" w:sz="8" w:space="0" w:color="00A5D4" w:themeColor="accent1"/>
          <w:right w:val="single" w:sz="8" w:space="0" w:color="00A5D4" w:themeColor="accent1"/>
        </w:tcBorders>
      </w:tcPr>
    </w:tblStylePr>
    <w:tblStylePr w:type="firstCol">
      <w:rPr>
        <w:b/>
        <w:bCs/>
      </w:rPr>
    </w:tblStylePr>
    <w:tblStylePr w:type="lastCol">
      <w:rPr>
        <w:b/>
        <w:bCs/>
      </w:rPr>
    </w:tblStylePr>
    <w:tblStylePr w:type="band1Vert">
      <w:tblPr/>
      <w:tcPr>
        <w:tcBorders>
          <w:top w:val="single" w:sz="8" w:space="0" w:color="00A5D4" w:themeColor="accent1"/>
          <w:left w:val="single" w:sz="8" w:space="0" w:color="00A5D4" w:themeColor="accent1"/>
          <w:bottom w:val="single" w:sz="8" w:space="0" w:color="00A5D4" w:themeColor="accent1"/>
          <w:right w:val="single" w:sz="8" w:space="0" w:color="00A5D4" w:themeColor="accent1"/>
        </w:tcBorders>
      </w:tcPr>
    </w:tblStylePr>
    <w:tblStylePr w:type="band1Horz">
      <w:tblPr/>
      <w:tcPr>
        <w:tcBorders>
          <w:top w:val="single" w:sz="8" w:space="0" w:color="00A5D4" w:themeColor="accent1"/>
          <w:left w:val="single" w:sz="8" w:space="0" w:color="00A5D4" w:themeColor="accent1"/>
          <w:bottom w:val="single" w:sz="8" w:space="0" w:color="00A5D4" w:themeColor="accent1"/>
          <w:right w:val="single" w:sz="8" w:space="0" w:color="00A5D4" w:themeColor="accent1"/>
        </w:tcBorders>
      </w:tcPr>
    </w:tblStylePr>
  </w:style>
  <w:style w:type="table" w:styleId="LightList-Accent2">
    <w:name w:val="Light List Accent 2"/>
    <w:basedOn w:val="TableNormal"/>
    <w:uiPriority w:val="98"/>
    <w:rsid w:val="00C63303"/>
    <w:tblPr>
      <w:tblStyleRowBandSize w:val="1"/>
      <w:tblStyleColBandSize w:val="1"/>
      <w:tblInd w:w="0" w:type="dxa"/>
      <w:tblBorders>
        <w:top w:val="single" w:sz="8" w:space="0" w:color="F3C42C" w:themeColor="accent2"/>
        <w:left w:val="single" w:sz="8" w:space="0" w:color="F3C42C" w:themeColor="accent2"/>
        <w:bottom w:val="single" w:sz="8" w:space="0" w:color="F3C42C" w:themeColor="accent2"/>
        <w:right w:val="single" w:sz="8" w:space="0" w:color="F3C42C"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3C42C" w:themeFill="accent2"/>
      </w:tcPr>
    </w:tblStylePr>
    <w:tblStylePr w:type="lastRow">
      <w:pPr>
        <w:spacing w:before="0" w:after="0" w:line="240" w:lineRule="auto"/>
      </w:pPr>
      <w:rPr>
        <w:b/>
        <w:bCs/>
      </w:rPr>
      <w:tblPr/>
      <w:tcPr>
        <w:tcBorders>
          <w:top w:val="double" w:sz="6" w:space="0" w:color="F3C42C" w:themeColor="accent2"/>
          <w:left w:val="single" w:sz="8" w:space="0" w:color="F3C42C" w:themeColor="accent2"/>
          <w:bottom w:val="single" w:sz="8" w:space="0" w:color="F3C42C" w:themeColor="accent2"/>
          <w:right w:val="single" w:sz="8" w:space="0" w:color="F3C42C" w:themeColor="accent2"/>
        </w:tcBorders>
      </w:tcPr>
    </w:tblStylePr>
    <w:tblStylePr w:type="firstCol">
      <w:rPr>
        <w:b/>
        <w:bCs/>
      </w:rPr>
    </w:tblStylePr>
    <w:tblStylePr w:type="lastCol">
      <w:rPr>
        <w:b/>
        <w:bCs/>
      </w:rPr>
    </w:tblStylePr>
    <w:tblStylePr w:type="band1Vert">
      <w:tblPr/>
      <w:tcPr>
        <w:tcBorders>
          <w:top w:val="single" w:sz="8" w:space="0" w:color="F3C42C" w:themeColor="accent2"/>
          <w:left w:val="single" w:sz="8" w:space="0" w:color="F3C42C" w:themeColor="accent2"/>
          <w:bottom w:val="single" w:sz="8" w:space="0" w:color="F3C42C" w:themeColor="accent2"/>
          <w:right w:val="single" w:sz="8" w:space="0" w:color="F3C42C" w:themeColor="accent2"/>
        </w:tcBorders>
      </w:tcPr>
    </w:tblStylePr>
    <w:tblStylePr w:type="band1Horz">
      <w:tblPr/>
      <w:tcPr>
        <w:tcBorders>
          <w:top w:val="single" w:sz="8" w:space="0" w:color="F3C42C" w:themeColor="accent2"/>
          <w:left w:val="single" w:sz="8" w:space="0" w:color="F3C42C" w:themeColor="accent2"/>
          <w:bottom w:val="single" w:sz="8" w:space="0" w:color="F3C42C" w:themeColor="accent2"/>
          <w:right w:val="single" w:sz="8" w:space="0" w:color="F3C42C" w:themeColor="accent2"/>
        </w:tcBorders>
      </w:tcPr>
    </w:tblStylePr>
  </w:style>
  <w:style w:type="table" w:styleId="LightList-Accent3">
    <w:name w:val="Light List Accent 3"/>
    <w:basedOn w:val="TableNormal"/>
    <w:uiPriority w:val="98"/>
    <w:rsid w:val="00C63303"/>
    <w:tblPr>
      <w:tblStyleRowBandSize w:val="1"/>
      <w:tblStyleColBandSize w:val="1"/>
      <w:tblInd w:w="0" w:type="dxa"/>
      <w:tblBorders>
        <w:top w:val="single" w:sz="8" w:space="0" w:color="16AB9B" w:themeColor="accent3"/>
        <w:left w:val="single" w:sz="8" w:space="0" w:color="16AB9B" w:themeColor="accent3"/>
        <w:bottom w:val="single" w:sz="8" w:space="0" w:color="16AB9B" w:themeColor="accent3"/>
        <w:right w:val="single" w:sz="8" w:space="0" w:color="16AB9B"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16AB9B" w:themeFill="accent3"/>
      </w:tcPr>
    </w:tblStylePr>
    <w:tblStylePr w:type="lastRow">
      <w:pPr>
        <w:spacing w:before="0" w:after="0" w:line="240" w:lineRule="auto"/>
      </w:pPr>
      <w:rPr>
        <w:b/>
        <w:bCs/>
      </w:rPr>
      <w:tblPr/>
      <w:tcPr>
        <w:tcBorders>
          <w:top w:val="double" w:sz="6" w:space="0" w:color="16AB9B" w:themeColor="accent3"/>
          <w:left w:val="single" w:sz="8" w:space="0" w:color="16AB9B" w:themeColor="accent3"/>
          <w:bottom w:val="single" w:sz="8" w:space="0" w:color="16AB9B" w:themeColor="accent3"/>
          <w:right w:val="single" w:sz="8" w:space="0" w:color="16AB9B" w:themeColor="accent3"/>
        </w:tcBorders>
      </w:tcPr>
    </w:tblStylePr>
    <w:tblStylePr w:type="firstCol">
      <w:rPr>
        <w:b/>
        <w:bCs/>
      </w:rPr>
    </w:tblStylePr>
    <w:tblStylePr w:type="lastCol">
      <w:rPr>
        <w:b/>
        <w:bCs/>
      </w:rPr>
    </w:tblStylePr>
    <w:tblStylePr w:type="band1Vert">
      <w:tblPr/>
      <w:tcPr>
        <w:tcBorders>
          <w:top w:val="single" w:sz="8" w:space="0" w:color="16AB9B" w:themeColor="accent3"/>
          <w:left w:val="single" w:sz="8" w:space="0" w:color="16AB9B" w:themeColor="accent3"/>
          <w:bottom w:val="single" w:sz="8" w:space="0" w:color="16AB9B" w:themeColor="accent3"/>
          <w:right w:val="single" w:sz="8" w:space="0" w:color="16AB9B" w:themeColor="accent3"/>
        </w:tcBorders>
      </w:tcPr>
    </w:tblStylePr>
    <w:tblStylePr w:type="band1Horz">
      <w:tblPr/>
      <w:tcPr>
        <w:tcBorders>
          <w:top w:val="single" w:sz="8" w:space="0" w:color="16AB9B" w:themeColor="accent3"/>
          <w:left w:val="single" w:sz="8" w:space="0" w:color="16AB9B" w:themeColor="accent3"/>
          <w:bottom w:val="single" w:sz="8" w:space="0" w:color="16AB9B" w:themeColor="accent3"/>
          <w:right w:val="single" w:sz="8" w:space="0" w:color="16AB9B" w:themeColor="accent3"/>
        </w:tcBorders>
      </w:tcPr>
    </w:tblStylePr>
  </w:style>
  <w:style w:type="table" w:styleId="LightList-Accent4">
    <w:name w:val="Light List Accent 4"/>
    <w:basedOn w:val="TableNormal"/>
    <w:uiPriority w:val="98"/>
    <w:rsid w:val="00C63303"/>
    <w:tblPr>
      <w:tblStyleRowBandSize w:val="1"/>
      <w:tblStyleColBandSize w:val="1"/>
      <w:tblInd w:w="0" w:type="dxa"/>
      <w:tblBorders>
        <w:top w:val="single" w:sz="8" w:space="0" w:color="675890" w:themeColor="accent4"/>
        <w:left w:val="single" w:sz="8" w:space="0" w:color="675890" w:themeColor="accent4"/>
        <w:bottom w:val="single" w:sz="8" w:space="0" w:color="675890" w:themeColor="accent4"/>
        <w:right w:val="single" w:sz="8" w:space="0" w:color="67589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75890" w:themeFill="accent4"/>
      </w:tcPr>
    </w:tblStylePr>
    <w:tblStylePr w:type="lastRow">
      <w:pPr>
        <w:spacing w:before="0" w:after="0" w:line="240" w:lineRule="auto"/>
      </w:pPr>
      <w:rPr>
        <w:b/>
        <w:bCs/>
      </w:rPr>
      <w:tblPr/>
      <w:tcPr>
        <w:tcBorders>
          <w:top w:val="double" w:sz="6" w:space="0" w:color="675890" w:themeColor="accent4"/>
          <w:left w:val="single" w:sz="8" w:space="0" w:color="675890" w:themeColor="accent4"/>
          <w:bottom w:val="single" w:sz="8" w:space="0" w:color="675890" w:themeColor="accent4"/>
          <w:right w:val="single" w:sz="8" w:space="0" w:color="675890" w:themeColor="accent4"/>
        </w:tcBorders>
      </w:tcPr>
    </w:tblStylePr>
    <w:tblStylePr w:type="firstCol">
      <w:rPr>
        <w:b/>
        <w:bCs/>
      </w:rPr>
    </w:tblStylePr>
    <w:tblStylePr w:type="lastCol">
      <w:rPr>
        <w:b/>
        <w:bCs/>
      </w:rPr>
    </w:tblStylePr>
    <w:tblStylePr w:type="band1Vert">
      <w:tblPr/>
      <w:tcPr>
        <w:tcBorders>
          <w:top w:val="single" w:sz="8" w:space="0" w:color="675890" w:themeColor="accent4"/>
          <w:left w:val="single" w:sz="8" w:space="0" w:color="675890" w:themeColor="accent4"/>
          <w:bottom w:val="single" w:sz="8" w:space="0" w:color="675890" w:themeColor="accent4"/>
          <w:right w:val="single" w:sz="8" w:space="0" w:color="675890" w:themeColor="accent4"/>
        </w:tcBorders>
      </w:tcPr>
    </w:tblStylePr>
    <w:tblStylePr w:type="band1Horz">
      <w:tblPr/>
      <w:tcPr>
        <w:tcBorders>
          <w:top w:val="single" w:sz="8" w:space="0" w:color="675890" w:themeColor="accent4"/>
          <w:left w:val="single" w:sz="8" w:space="0" w:color="675890" w:themeColor="accent4"/>
          <w:bottom w:val="single" w:sz="8" w:space="0" w:color="675890" w:themeColor="accent4"/>
          <w:right w:val="single" w:sz="8" w:space="0" w:color="675890" w:themeColor="accent4"/>
        </w:tcBorders>
      </w:tcPr>
    </w:tblStylePr>
  </w:style>
  <w:style w:type="table" w:styleId="LightList-Accent5">
    <w:name w:val="Light List Accent 5"/>
    <w:basedOn w:val="TableNormal"/>
    <w:uiPriority w:val="98"/>
    <w:rsid w:val="00C63303"/>
    <w:tblPr>
      <w:tblStyleRowBandSize w:val="1"/>
      <w:tblStyleColBandSize w:val="1"/>
      <w:tblInd w:w="0" w:type="dxa"/>
      <w:tblBorders>
        <w:top w:val="single" w:sz="8" w:space="0" w:color="9C7761" w:themeColor="accent5"/>
        <w:left w:val="single" w:sz="8" w:space="0" w:color="9C7761" w:themeColor="accent5"/>
        <w:bottom w:val="single" w:sz="8" w:space="0" w:color="9C7761" w:themeColor="accent5"/>
        <w:right w:val="single" w:sz="8" w:space="0" w:color="9C7761"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C7761" w:themeFill="accent5"/>
      </w:tcPr>
    </w:tblStylePr>
    <w:tblStylePr w:type="lastRow">
      <w:pPr>
        <w:spacing w:before="0" w:after="0" w:line="240" w:lineRule="auto"/>
      </w:pPr>
      <w:rPr>
        <w:b/>
        <w:bCs/>
      </w:rPr>
      <w:tblPr/>
      <w:tcPr>
        <w:tcBorders>
          <w:top w:val="double" w:sz="6" w:space="0" w:color="9C7761" w:themeColor="accent5"/>
          <w:left w:val="single" w:sz="8" w:space="0" w:color="9C7761" w:themeColor="accent5"/>
          <w:bottom w:val="single" w:sz="8" w:space="0" w:color="9C7761" w:themeColor="accent5"/>
          <w:right w:val="single" w:sz="8" w:space="0" w:color="9C7761" w:themeColor="accent5"/>
        </w:tcBorders>
      </w:tcPr>
    </w:tblStylePr>
    <w:tblStylePr w:type="firstCol">
      <w:rPr>
        <w:b/>
        <w:bCs/>
      </w:rPr>
    </w:tblStylePr>
    <w:tblStylePr w:type="lastCol">
      <w:rPr>
        <w:b/>
        <w:bCs/>
      </w:rPr>
    </w:tblStylePr>
    <w:tblStylePr w:type="band1Vert">
      <w:tblPr/>
      <w:tcPr>
        <w:tcBorders>
          <w:top w:val="single" w:sz="8" w:space="0" w:color="9C7761" w:themeColor="accent5"/>
          <w:left w:val="single" w:sz="8" w:space="0" w:color="9C7761" w:themeColor="accent5"/>
          <w:bottom w:val="single" w:sz="8" w:space="0" w:color="9C7761" w:themeColor="accent5"/>
          <w:right w:val="single" w:sz="8" w:space="0" w:color="9C7761" w:themeColor="accent5"/>
        </w:tcBorders>
      </w:tcPr>
    </w:tblStylePr>
    <w:tblStylePr w:type="band1Horz">
      <w:tblPr/>
      <w:tcPr>
        <w:tcBorders>
          <w:top w:val="single" w:sz="8" w:space="0" w:color="9C7761" w:themeColor="accent5"/>
          <w:left w:val="single" w:sz="8" w:space="0" w:color="9C7761" w:themeColor="accent5"/>
          <w:bottom w:val="single" w:sz="8" w:space="0" w:color="9C7761" w:themeColor="accent5"/>
          <w:right w:val="single" w:sz="8" w:space="0" w:color="9C7761" w:themeColor="accent5"/>
        </w:tcBorders>
      </w:tcPr>
    </w:tblStylePr>
  </w:style>
  <w:style w:type="table" w:styleId="LightList-Accent6">
    <w:name w:val="Light List Accent 6"/>
    <w:basedOn w:val="TableNormal"/>
    <w:uiPriority w:val="98"/>
    <w:rsid w:val="00C63303"/>
    <w:tblPr>
      <w:tblStyleRowBandSize w:val="1"/>
      <w:tblStyleColBandSize w:val="1"/>
      <w:tblInd w:w="0" w:type="dxa"/>
      <w:tblBorders>
        <w:top w:val="single" w:sz="8" w:space="0" w:color="AD123C" w:themeColor="accent6"/>
        <w:left w:val="single" w:sz="8" w:space="0" w:color="AD123C" w:themeColor="accent6"/>
        <w:bottom w:val="single" w:sz="8" w:space="0" w:color="AD123C" w:themeColor="accent6"/>
        <w:right w:val="single" w:sz="8" w:space="0" w:color="AD123C"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D123C" w:themeFill="accent6"/>
      </w:tcPr>
    </w:tblStylePr>
    <w:tblStylePr w:type="lastRow">
      <w:pPr>
        <w:spacing w:before="0" w:after="0" w:line="240" w:lineRule="auto"/>
      </w:pPr>
      <w:rPr>
        <w:b/>
        <w:bCs/>
      </w:rPr>
      <w:tblPr/>
      <w:tcPr>
        <w:tcBorders>
          <w:top w:val="double" w:sz="6" w:space="0" w:color="AD123C" w:themeColor="accent6"/>
          <w:left w:val="single" w:sz="8" w:space="0" w:color="AD123C" w:themeColor="accent6"/>
          <w:bottom w:val="single" w:sz="8" w:space="0" w:color="AD123C" w:themeColor="accent6"/>
          <w:right w:val="single" w:sz="8" w:space="0" w:color="AD123C" w:themeColor="accent6"/>
        </w:tcBorders>
      </w:tcPr>
    </w:tblStylePr>
    <w:tblStylePr w:type="firstCol">
      <w:rPr>
        <w:b/>
        <w:bCs/>
      </w:rPr>
    </w:tblStylePr>
    <w:tblStylePr w:type="lastCol">
      <w:rPr>
        <w:b/>
        <w:bCs/>
      </w:rPr>
    </w:tblStylePr>
    <w:tblStylePr w:type="band1Vert">
      <w:tblPr/>
      <w:tcPr>
        <w:tcBorders>
          <w:top w:val="single" w:sz="8" w:space="0" w:color="AD123C" w:themeColor="accent6"/>
          <w:left w:val="single" w:sz="8" w:space="0" w:color="AD123C" w:themeColor="accent6"/>
          <w:bottom w:val="single" w:sz="8" w:space="0" w:color="AD123C" w:themeColor="accent6"/>
          <w:right w:val="single" w:sz="8" w:space="0" w:color="AD123C" w:themeColor="accent6"/>
        </w:tcBorders>
      </w:tcPr>
    </w:tblStylePr>
    <w:tblStylePr w:type="band1Horz">
      <w:tblPr/>
      <w:tcPr>
        <w:tcBorders>
          <w:top w:val="single" w:sz="8" w:space="0" w:color="AD123C" w:themeColor="accent6"/>
          <w:left w:val="single" w:sz="8" w:space="0" w:color="AD123C" w:themeColor="accent6"/>
          <w:bottom w:val="single" w:sz="8" w:space="0" w:color="AD123C" w:themeColor="accent6"/>
          <w:right w:val="single" w:sz="8" w:space="0" w:color="AD123C"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7B9E" w:themeColor="accent1" w:themeShade="BF"/>
    </w:rPr>
    <w:tblPr>
      <w:tblStyleRowBandSize w:val="1"/>
      <w:tblStyleColBandSize w:val="1"/>
      <w:tblInd w:w="0" w:type="dxa"/>
      <w:tblBorders>
        <w:top w:val="single" w:sz="8" w:space="0" w:color="00A5D4" w:themeColor="accent1"/>
        <w:bottom w:val="single" w:sz="8" w:space="0" w:color="00A5D4"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A5D4" w:themeColor="accent1"/>
          <w:left w:val="nil"/>
          <w:bottom w:val="single" w:sz="8" w:space="0" w:color="00A5D4" w:themeColor="accent1"/>
          <w:right w:val="nil"/>
          <w:insideH w:val="nil"/>
          <w:insideV w:val="nil"/>
        </w:tcBorders>
      </w:tcPr>
    </w:tblStylePr>
    <w:tblStylePr w:type="lastRow">
      <w:pPr>
        <w:spacing w:before="0" w:after="0" w:line="240" w:lineRule="auto"/>
      </w:pPr>
      <w:rPr>
        <w:b/>
        <w:bCs/>
      </w:rPr>
      <w:tblPr/>
      <w:tcPr>
        <w:tcBorders>
          <w:top w:val="single" w:sz="8" w:space="0" w:color="00A5D4" w:themeColor="accent1"/>
          <w:left w:val="nil"/>
          <w:bottom w:val="single" w:sz="8" w:space="0" w:color="00A5D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EEFF" w:themeFill="accent1" w:themeFillTint="3F"/>
      </w:tcPr>
    </w:tblStylePr>
    <w:tblStylePr w:type="band1Horz">
      <w:tblPr/>
      <w:tcPr>
        <w:tcBorders>
          <w:left w:val="nil"/>
          <w:right w:val="nil"/>
          <w:insideH w:val="nil"/>
          <w:insideV w:val="nil"/>
        </w:tcBorders>
        <w:shd w:val="clear" w:color="auto" w:fill="B5EEFF" w:themeFill="accent1" w:themeFillTint="3F"/>
      </w:tcPr>
    </w:tblStylePr>
  </w:style>
  <w:style w:type="table" w:styleId="LightShading-Accent2">
    <w:name w:val="Light Shading Accent 2"/>
    <w:basedOn w:val="TableNormal"/>
    <w:uiPriority w:val="98"/>
    <w:rsid w:val="00C63303"/>
    <w:rPr>
      <w:color w:val="CB9D0B" w:themeColor="accent2" w:themeShade="BF"/>
    </w:rPr>
    <w:tblPr>
      <w:tblStyleRowBandSize w:val="1"/>
      <w:tblStyleColBandSize w:val="1"/>
      <w:tblInd w:w="0" w:type="dxa"/>
      <w:tblBorders>
        <w:top w:val="single" w:sz="8" w:space="0" w:color="F3C42C" w:themeColor="accent2"/>
        <w:bottom w:val="single" w:sz="8" w:space="0" w:color="F3C42C"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3C42C" w:themeColor="accent2"/>
          <w:left w:val="nil"/>
          <w:bottom w:val="single" w:sz="8" w:space="0" w:color="F3C42C" w:themeColor="accent2"/>
          <w:right w:val="nil"/>
          <w:insideH w:val="nil"/>
          <w:insideV w:val="nil"/>
        </w:tcBorders>
      </w:tcPr>
    </w:tblStylePr>
    <w:tblStylePr w:type="lastRow">
      <w:pPr>
        <w:spacing w:before="0" w:after="0" w:line="240" w:lineRule="auto"/>
      </w:pPr>
      <w:rPr>
        <w:b/>
        <w:bCs/>
      </w:rPr>
      <w:tblPr/>
      <w:tcPr>
        <w:tcBorders>
          <w:top w:val="single" w:sz="8" w:space="0" w:color="F3C42C" w:themeColor="accent2"/>
          <w:left w:val="nil"/>
          <w:bottom w:val="single" w:sz="8" w:space="0" w:color="F3C42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0CA" w:themeFill="accent2" w:themeFillTint="3F"/>
      </w:tcPr>
    </w:tblStylePr>
    <w:tblStylePr w:type="band1Horz">
      <w:tblPr/>
      <w:tcPr>
        <w:tcBorders>
          <w:left w:val="nil"/>
          <w:right w:val="nil"/>
          <w:insideH w:val="nil"/>
          <w:insideV w:val="nil"/>
        </w:tcBorders>
        <w:shd w:val="clear" w:color="auto" w:fill="FCF0CA" w:themeFill="accent2" w:themeFillTint="3F"/>
      </w:tcPr>
    </w:tblStylePr>
  </w:style>
  <w:style w:type="table" w:styleId="LightShading-Accent3">
    <w:name w:val="Light Shading Accent 3"/>
    <w:basedOn w:val="TableNormal"/>
    <w:uiPriority w:val="98"/>
    <w:rsid w:val="00C63303"/>
    <w:rPr>
      <w:color w:val="107F73" w:themeColor="accent3" w:themeShade="BF"/>
    </w:rPr>
    <w:tblPr>
      <w:tblStyleRowBandSize w:val="1"/>
      <w:tblStyleColBandSize w:val="1"/>
      <w:tblInd w:w="0" w:type="dxa"/>
      <w:tblBorders>
        <w:top w:val="single" w:sz="8" w:space="0" w:color="16AB9B" w:themeColor="accent3"/>
        <w:bottom w:val="single" w:sz="8" w:space="0" w:color="16AB9B"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16AB9B" w:themeColor="accent3"/>
          <w:left w:val="nil"/>
          <w:bottom w:val="single" w:sz="8" w:space="0" w:color="16AB9B" w:themeColor="accent3"/>
          <w:right w:val="nil"/>
          <w:insideH w:val="nil"/>
          <w:insideV w:val="nil"/>
        </w:tcBorders>
      </w:tcPr>
    </w:tblStylePr>
    <w:tblStylePr w:type="lastRow">
      <w:pPr>
        <w:spacing w:before="0" w:after="0" w:line="240" w:lineRule="auto"/>
      </w:pPr>
      <w:rPr>
        <w:b/>
        <w:bCs/>
      </w:rPr>
      <w:tblPr/>
      <w:tcPr>
        <w:tcBorders>
          <w:top w:val="single" w:sz="8" w:space="0" w:color="16AB9B" w:themeColor="accent3"/>
          <w:left w:val="nil"/>
          <w:bottom w:val="single" w:sz="8" w:space="0" w:color="16AB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6EF" w:themeFill="accent3" w:themeFillTint="3F"/>
      </w:tcPr>
    </w:tblStylePr>
    <w:tblStylePr w:type="band1Horz">
      <w:tblPr/>
      <w:tcPr>
        <w:tcBorders>
          <w:left w:val="nil"/>
          <w:right w:val="nil"/>
          <w:insideH w:val="nil"/>
          <w:insideV w:val="nil"/>
        </w:tcBorders>
        <w:shd w:val="clear" w:color="auto" w:fill="B9F6EF" w:themeFill="accent3" w:themeFillTint="3F"/>
      </w:tcPr>
    </w:tblStylePr>
  </w:style>
  <w:style w:type="table" w:styleId="LightShading-Accent4">
    <w:name w:val="Light Shading Accent 4"/>
    <w:basedOn w:val="TableNormal"/>
    <w:uiPriority w:val="98"/>
    <w:rsid w:val="00C63303"/>
    <w:rPr>
      <w:color w:val="4D426B" w:themeColor="accent4" w:themeShade="BF"/>
    </w:rPr>
    <w:tblPr>
      <w:tblStyleRowBandSize w:val="1"/>
      <w:tblStyleColBandSize w:val="1"/>
      <w:tblInd w:w="0" w:type="dxa"/>
      <w:tblBorders>
        <w:top w:val="single" w:sz="8" w:space="0" w:color="675890" w:themeColor="accent4"/>
        <w:bottom w:val="single" w:sz="8" w:space="0" w:color="67589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75890" w:themeColor="accent4"/>
          <w:left w:val="nil"/>
          <w:bottom w:val="single" w:sz="8" w:space="0" w:color="675890" w:themeColor="accent4"/>
          <w:right w:val="nil"/>
          <w:insideH w:val="nil"/>
          <w:insideV w:val="nil"/>
        </w:tcBorders>
      </w:tcPr>
    </w:tblStylePr>
    <w:tblStylePr w:type="lastRow">
      <w:pPr>
        <w:spacing w:before="0" w:after="0" w:line="240" w:lineRule="auto"/>
      </w:pPr>
      <w:rPr>
        <w:b/>
        <w:bCs/>
      </w:rPr>
      <w:tblPr/>
      <w:tcPr>
        <w:tcBorders>
          <w:top w:val="single" w:sz="8" w:space="0" w:color="675890" w:themeColor="accent4"/>
          <w:left w:val="nil"/>
          <w:bottom w:val="single" w:sz="8" w:space="0" w:color="6758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4E4" w:themeFill="accent4" w:themeFillTint="3F"/>
      </w:tcPr>
    </w:tblStylePr>
    <w:tblStylePr w:type="band1Horz">
      <w:tblPr/>
      <w:tcPr>
        <w:tcBorders>
          <w:left w:val="nil"/>
          <w:right w:val="nil"/>
          <w:insideH w:val="nil"/>
          <w:insideV w:val="nil"/>
        </w:tcBorders>
        <w:shd w:val="clear" w:color="auto" w:fill="D8D4E4" w:themeFill="accent4" w:themeFillTint="3F"/>
      </w:tcPr>
    </w:tblStylePr>
  </w:style>
  <w:style w:type="table" w:styleId="LightShading-Accent5">
    <w:name w:val="Light Shading Accent 5"/>
    <w:basedOn w:val="TableNormal"/>
    <w:uiPriority w:val="98"/>
    <w:rsid w:val="00C63303"/>
    <w:rPr>
      <w:color w:val="745948" w:themeColor="accent5" w:themeShade="BF"/>
    </w:rPr>
    <w:tblPr>
      <w:tblStyleRowBandSize w:val="1"/>
      <w:tblStyleColBandSize w:val="1"/>
      <w:tblInd w:w="0" w:type="dxa"/>
      <w:tblBorders>
        <w:top w:val="single" w:sz="8" w:space="0" w:color="9C7761" w:themeColor="accent5"/>
        <w:bottom w:val="single" w:sz="8" w:space="0" w:color="9C7761"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C7761" w:themeColor="accent5"/>
          <w:left w:val="nil"/>
          <w:bottom w:val="single" w:sz="8" w:space="0" w:color="9C7761" w:themeColor="accent5"/>
          <w:right w:val="nil"/>
          <w:insideH w:val="nil"/>
          <w:insideV w:val="nil"/>
        </w:tcBorders>
      </w:tcPr>
    </w:tblStylePr>
    <w:tblStylePr w:type="lastRow">
      <w:pPr>
        <w:spacing w:before="0" w:after="0" w:line="240" w:lineRule="auto"/>
      </w:pPr>
      <w:rPr>
        <w:b/>
        <w:bCs/>
      </w:rPr>
      <w:tblPr/>
      <w:tcPr>
        <w:tcBorders>
          <w:top w:val="single" w:sz="8" w:space="0" w:color="9C7761" w:themeColor="accent5"/>
          <w:left w:val="nil"/>
          <w:bottom w:val="single" w:sz="8" w:space="0" w:color="9C776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DD7" w:themeFill="accent5" w:themeFillTint="3F"/>
      </w:tcPr>
    </w:tblStylePr>
    <w:tblStylePr w:type="band1Horz">
      <w:tblPr/>
      <w:tcPr>
        <w:tcBorders>
          <w:left w:val="nil"/>
          <w:right w:val="nil"/>
          <w:insideH w:val="nil"/>
          <w:insideV w:val="nil"/>
        </w:tcBorders>
        <w:shd w:val="clear" w:color="auto" w:fill="E6DDD7" w:themeFill="accent5" w:themeFillTint="3F"/>
      </w:tcPr>
    </w:tblStylePr>
  </w:style>
  <w:style w:type="table" w:styleId="LightShading-Accent6">
    <w:name w:val="Light Shading Accent 6"/>
    <w:basedOn w:val="TableNormal"/>
    <w:uiPriority w:val="98"/>
    <w:rsid w:val="00C63303"/>
    <w:rPr>
      <w:color w:val="810D2C" w:themeColor="accent6" w:themeShade="BF"/>
    </w:rPr>
    <w:tblPr>
      <w:tblStyleRowBandSize w:val="1"/>
      <w:tblStyleColBandSize w:val="1"/>
      <w:tblInd w:w="0" w:type="dxa"/>
      <w:tblBorders>
        <w:top w:val="single" w:sz="8" w:space="0" w:color="AD123C" w:themeColor="accent6"/>
        <w:bottom w:val="single" w:sz="8" w:space="0" w:color="AD123C"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D123C" w:themeColor="accent6"/>
          <w:left w:val="nil"/>
          <w:bottom w:val="single" w:sz="8" w:space="0" w:color="AD123C" w:themeColor="accent6"/>
          <w:right w:val="nil"/>
          <w:insideH w:val="nil"/>
          <w:insideV w:val="nil"/>
        </w:tcBorders>
      </w:tcPr>
    </w:tblStylePr>
    <w:tblStylePr w:type="lastRow">
      <w:pPr>
        <w:spacing w:before="0" w:after="0" w:line="240" w:lineRule="auto"/>
      </w:pPr>
      <w:rPr>
        <w:b/>
        <w:bCs/>
      </w:rPr>
      <w:tblPr/>
      <w:tcPr>
        <w:tcBorders>
          <w:top w:val="single" w:sz="8" w:space="0" w:color="AD123C" w:themeColor="accent6"/>
          <w:left w:val="nil"/>
          <w:bottom w:val="single" w:sz="8" w:space="0" w:color="AD12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B7C8" w:themeFill="accent6" w:themeFillTint="3F"/>
      </w:tcPr>
    </w:tblStylePr>
    <w:tblStylePr w:type="band1Horz">
      <w:tblPr/>
      <w:tcPr>
        <w:tcBorders>
          <w:left w:val="nil"/>
          <w:right w:val="nil"/>
          <w:insideH w:val="nil"/>
          <w:insideV w:val="nil"/>
        </w:tcBorders>
        <w:shd w:val="clear" w:color="auto" w:fill="F7B7C8" w:themeFill="accent6" w:themeFillTint="3F"/>
      </w:tcPr>
    </w:tblStylePr>
  </w:style>
  <w:style w:type="character" w:styleId="LineNumber">
    <w:name w:val="line number"/>
    <w:basedOn w:val="DefaultParagraphFont"/>
    <w:uiPriority w:val="97"/>
    <w:semiHidden/>
    <w:rsid w:val="00C63303"/>
    <w:rPr>
      <w:rFonts w:asciiTheme="minorHAnsi" w:hAnsiTheme="minorHAnsi" w:cstheme="minorHAnsi"/>
    </w:rPr>
  </w:style>
  <w:style w:type="paragraph" w:styleId="List">
    <w:name w:val="List"/>
    <w:basedOn w:val="Normal"/>
    <w:uiPriority w:val="4"/>
    <w:semiHidden/>
    <w:rsid w:val="00C63303"/>
    <w:pPr>
      <w:ind w:left="283" w:hanging="283"/>
      <w:contextualSpacing/>
    </w:pPr>
  </w:style>
  <w:style w:type="paragraph" w:styleId="List2">
    <w:name w:val="List 2"/>
    <w:basedOn w:val="Normal"/>
    <w:uiPriority w:val="4"/>
    <w:semiHidden/>
    <w:rsid w:val="00C63303"/>
    <w:pPr>
      <w:ind w:left="566" w:hanging="283"/>
      <w:contextualSpacing/>
    </w:pPr>
  </w:style>
  <w:style w:type="paragraph" w:styleId="List3">
    <w:name w:val="List 3"/>
    <w:basedOn w:val="Normal"/>
    <w:uiPriority w:val="4"/>
    <w:semiHidden/>
    <w:rsid w:val="00C63303"/>
    <w:pPr>
      <w:ind w:left="849" w:hanging="283"/>
      <w:contextualSpacing/>
    </w:pPr>
  </w:style>
  <w:style w:type="paragraph" w:styleId="List4">
    <w:name w:val="List 4"/>
    <w:basedOn w:val="Normal"/>
    <w:uiPriority w:val="4"/>
    <w:semiHidden/>
    <w:rsid w:val="00C63303"/>
    <w:pPr>
      <w:ind w:left="1132" w:hanging="283"/>
      <w:contextualSpacing/>
    </w:pPr>
  </w:style>
  <w:style w:type="numbering" w:customStyle="1" w:styleId="ListNumbers">
    <w:name w:val="ListNumbers"/>
    <w:uiPriority w:val="99"/>
    <w:rsid w:val="004E2E09"/>
    <w:pPr>
      <w:numPr>
        <w:numId w:val="9"/>
      </w:numPr>
    </w:pPr>
  </w:style>
  <w:style w:type="paragraph" w:styleId="ListBullet2">
    <w:name w:val="List Bullet 2"/>
    <w:basedOn w:val="Normal"/>
    <w:uiPriority w:val="2"/>
    <w:rsid w:val="004E2E09"/>
    <w:pPr>
      <w:numPr>
        <w:ilvl w:val="1"/>
        <w:numId w:val="16"/>
      </w:numPr>
    </w:pPr>
  </w:style>
  <w:style w:type="paragraph" w:styleId="ListBullet3">
    <w:name w:val="List Bullet 3"/>
    <w:basedOn w:val="Normal"/>
    <w:uiPriority w:val="2"/>
    <w:rsid w:val="004E2E09"/>
    <w:pPr>
      <w:numPr>
        <w:ilvl w:val="2"/>
        <w:numId w:val="16"/>
      </w:numPr>
      <w:ind w:left="851"/>
    </w:pPr>
  </w:style>
  <w:style w:type="paragraph" w:styleId="ListBullet4">
    <w:name w:val="List Bullet 4"/>
    <w:basedOn w:val="Normal"/>
    <w:uiPriority w:val="2"/>
    <w:semiHidden/>
    <w:rsid w:val="00C63303"/>
    <w:pPr>
      <w:numPr>
        <w:numId w:val="1"/>
      </w:numPr>
      <w:contextualSpacing/>
    </w:pPr>
  </w:style>
  <w:style w:type="paragraph" w:styleId="ListBullet5">
    <w:name w:val="List Bullet 5"/>
    <w:basedOn w:val="Normal"/>
    <w:uiPriority w:val="2"/>
    <w:semiHidden/>
    <w:rsid w:val="00C63303"/>
    <w:pPr>
      <w:numPr>
        <w:numId w:val="2"/>
      </w:numPr>
      <w:contextualSpacing/>
    </w:pPr>
  </w:style>
  <w:style w:type="paragraph" w:styleId="ListContinue">
    <w:name w:val="List Continue"/>
    <w:basedOn w:val="Normal"/>
    <w:uiPriority w:val="18"/>
    <w:semiHidden/>
    <w:rsid w:val="00C63303"/>
    <w:pPr>
      <w:ind w:left="283"/>
      <w:contextualSpacing/>
    </w:pPr>
  </w:style>
  <w:style w:type="paragraph" w:styleId="ListContinue2">
    <w:name w:val="List Continue 2"/>
    <w:basedOn w:val="Normal"/>
    <w:uiPriority w:val="18"/>
    <w:semiHidden/>
    <w:rsid w:val="00C63303"/>
    <w:pPr>
      <w:ind w:left="566"/>
      <w:contextualSpacing/>
    </w:pPr>
  </w:style>
  <w:style w:type="paragraph" w:styleId="ListContinue3">
    <w:name w:val="List Continue 3"/>
    <w:basedOn w:val="Normal"/>
    <w:uiPriority w:val="18"/>
    <w:semiHidden/>
    <w:rsid w:val="00C63303"/>
    <w:pPr>
      <w:ind w:left="849"/>
      <w:contextualSpacing/>
    </w:pPr>
  </w:style>
  <w:style w:type="paragraph" w:styleId="ListContinue4">
    <w:name w:val="List Continue 4"/>
    <w:basedOn w:val="Normal"/>
    <w:uiPriority w:val="18"/>
    <w:semiHidden/>
    <w:rsid w:val="00C63303"/>
    <w:pPr>
      <w:ind w:left="1132"/>
      <w:contextualSpacing/>
    </w:pPr>
  </w:style>
  <w:style w:type="paragraph" w:styleId="ListContinue5">
    <w:name w:val="List Continue 5"/>
    <w:basedOn w:val="Normal"/>
    <w:uiPriority w:val="18"/>
    <w:semiHidden/>
    <w:rsid w:val="00C63303"/>
    <w:pPr>
      <w:ind w:left="1415"/>
      <w:contextualSpacing/>
    </w:pPr>
  </w:style>
  <w:style w:type="paragraph" w:styleId="ListNumber2">
    <w:name w:val="List Number 2"/>
    <w:basedOn w:val="Normal"/>
    <w:uiPriority w:val="3"/>
    <w:rsid w:val="004E2E09"/>
    <w:pPr>
      <w:numPr>
        <w:ilvl w:val="1"/>
        <w:numId w:val="19"/>
      </w:numPr>
    </w:pPr>
  </w:style>
  <w:style w:type="paragraph" w:styleId="ListNumber3">
    <w:name w:val="List Number 3"/>
    <w:basedOn w:val="Normal"/>
    <w:uiPriority w:val="3"/>
    <w:rsid w:val="004E2E09"/>
    <w:pPr>
      <w:numPr>
        <w:ilvl w:val="2"/>
        <w:numId w:val="19"/>
      </w:numPr>
    </w:pPr>
  </w:style>
  <w:style w:type="paragraph" w:styleId="ListNumber4">
    <w:name w:val="List Number 4"/>
    <w:basedOn w:val="Normal"/>
    <w:uiPriority w:val="3"/>
    <w:semiHidden/>
    <w:rsid w:val="00C63303"/>
    <w:pPr>
      <w:numPr>
        <w:numId w:val="3"/>
      </w:numPr>
      <w:contextualSpacing/>
    </w:pPr>
  </w:style>
  <w:style w:type="paragraph" w:styleId="ListNumber5">
    <w:name w:val="List Number 5"/>
    <w:basedOn w:val="Normal"/>
    <w:uiPriority w:val="3"/>
    <w:semiHidden/>
    <w:rsid w:val="00C63303"/>
    <w:pPr>
      <w:numPr>
        <w:numId w:val="4"/>
      </w:numPr>
      <w:contextualSpacing/>
    </w:pPr>
  </w:style>
  <w:style w:type="paragraph" w:styleId="ListParagraph">
    <w:name w:val="List Paragraph"/>
    <w:basedOn w:val="Normal"/>
    <w:uiPriority w:val="4"/>
    <w:semiHidden/>
    <w:rsid w:val="00C63303"/>
    <w:pPr>
      <w:ind w:left="720"/>
      <w:contextualSpacing/>
    </w:pPr>
  </w:style>
  <w:style w:type="paragraph" w:styleId="MacroText">
    <w:name w:val="macro"/>
    <w:link w:val="MacroTextChar"/>
    <w:uiPriority w:val="97"/>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rsid w:val="00C63303"/>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Ind w:w="0" w:type="dxa"/>
      <w:tblBorders>
        <w:top w:val="single" w:sz="8" w:space="0" w:color="1FCDFF" w:themeColor="accent1" w:themeTint="BF"/>
        <w:left w:val="single" w:sz="8" w:space="0" w:color="1FCDFF" w:themeColor="accent1" w:themeTint="BF"/>
        <w:bottom w:val="single" w:sz="8" w:space="0" w:color="1FCDFF" w:themeColor="accent1" w:themeTint="BF"/>
        <w:right w:val="single" w:sz="8" w:space="0" w:color="1FCDFF" w:themeColor="accent1" w:themeTint="BF"/>
        <w:insideH w:val="single" w:sz="8" w:space="0" w:color="1FCDFF" w:themeColor="accent1" w:themeTint="BF"/>
        <w:insideV w:val="single" w:sz="8" w:space="0" w:color="1FCDFF" w:themeColor="accent1" w:themeTint="BF"/>
      </w:tblBorders>
      <w:tblCellMar>
        <w:top w:w="0" w:type="dxa"/>
        <w:left w:w="108" w:type="dxa"/>
        <w:bottom w:w="0" w:type="dxa"/>
        <w:right w:w="108" w:type="dxa"/>
      </w:tblCellMar>
    </w:tblPr>
    <w:tcPr>
      <w:shd w:val="clear" w:color="auto" w:fill="B5EEF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1FCDFF" w:themeColor="accent1" w:themeTint="BF"/>
        </w:tcBorders>
      </w:tcPr>
    </w:tblStylePr>
    <w:tblStylePr w:type="firstCol">
      <w:rPr>
        <w:b/>
        <w:bCs/>
      </w:rPr>
    </w:tblStylePr>
    <w:tblStylePr w:type="lastCol">
      <w:rPr>
        <w:b/>
        <w:bCs/>
      </w:rPr>
    </w:tblStylePr>
    <w:tblStylePr w:type="band1Vert">
      <w:tblPr/>
      <w:tcPr>
        <w:shd w:val="clear" w:color="auto" w:fill="6ADDFF" w:themeFill="accent1" w:themeFillTint="7F"/>
      </w:tcPr>
    </w:tblStylePr>
    <w:tblStylePr w:type="band1Horz">
      <w:tblPr/>
      <w:tcPr>
        <w:shd w:val="clear" w:color="auto" w:fill="6ADDFF" w:themeFill="accent1" w:themeFillTint="7F"/>
      </w:tcPr>
    </w:tblStylePr>
  </w:style>
  <w:style w:type="table" w:styleId="MediumGrid1-Accent2">
    <w:name w:val="Medium Grid 1 Accent 2"/>
    <w:basedOn w:val="TableNormal"/>
    <w:uiPriority w:val="98"/>
    <w:rsid w:val="00C63303"/>
    <w:tblPr>
      <w:tblStyleRowBandSize w:val="1"/>
      <w:tblStyleColBandSize w:val="1"/>
      <w:tblInd w:w="0" w:type="dxa"/>
      <w:tblBorders>
        <w:top w:val="single" w:sz="8" w:space="0" w:color="F6D260" w:themeColor="accent2" w:themeTint="BF"/>
        <w:left w:val="single" w:sz="8" w:space="0" w:color="F6D260" w:themeColor="accent2" w:themeTint="BF"/>
        <w:bottom w:val="single" w:sz="8" w:space="0" w:color="F6D260" w:themeColor="accent2" w:themeTint="BF"/>
        <w:right w:val="single" w:sz="8" w:space="0" w:color="F6D260" w:themeColor="accent2" w:themeTint="BF"/>
        <w:insideH w:val="single" w:sz="8" w:space="0" w:color="F6D260" w:themeColor="accent2" w:themeTint="BF"/>
        <w:insideV w:val="single" w:sz="8" w:space="0" w:color="F6D260" w:themeColor="accent2" w:themeTint="BF"/>
      </w:tblBorders>
      <w:tblCellMar>
        <w:top w:w="0" w:type="dxa"/>
        <w:left w:w="108" w:type="dxa"/>
        <w:bottom w:w="0" w:type="dxa"/>
        <w:right w:w="108" w:type="dxa"/>
      </w:tblCellMar>
    </w:tblPr>
    <w:tcPr>
      <w:shd w:val="clear" w:color="auto" w:fill="FCF0CA"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6D260" w:themeColor="accent2" w:themeTint="BF"/>
        </w:tcBorders>
      </w:tcPr>
    </w:tblStylePr>
    <w:tblStylePr w:type="firstCol">
      <w:rPr>
        <w:b/>
        <w:bCs/>
      </w:rPr>
    </w:tblStylePr>
    <w:tblStylePr w:type="lastCol">
      <w:rPr>
        <w:b/>
        <w:bCs/>
      </w:rPr>
    </w:tblStylePr>
    <w:tblStylePr w:type="band1Vert">
      <w:tblPr/>
      <w:tcPr>
        <w:shd w:val="clear" w:color="auto" w:fill="F9E195" w:themeFill="accent2" w:themeFillTint="7F"/>
      </w:tcPr>
    </w:tblStylePr>
    <w:tblStylePr w:type="band1Horz">
      <w:tblPr/>
      <w:tcPr>
        <w:shd w:val="clear" w:color="auto" w:fill="F9E195" w:themeFill="accent2" w:themeFillTint="7F"/>
      </w:tcPr>
    </w:tblStylePr>
  </w:style>
  <w:style w:type="table" w:styleId="MediumGrid1-Accent3">
    <w:name w:val="Medium Grid 1 Accent 3"/>
    <w:basedOn w:val="TableNormal"/>
    <w:uiPriority w:val="98"/>
    <w:rsid w:val="00C63303"/>
    <w:tblPr>
      <w:tblStyleRowBandSize w:val="1"/>
      <w:tblStyleColBandSize w:val="1"/>
      <w:tblInd w:w="0" w:type="dxa"/>
      <w:tblBorders>
        <w:top w:val="single" w:sz="8" w:space="0" w:color="2CE4CF" w:themeColor="accent3" w:themeTint="BF"/>
        <w:left w:val="single" w:sz="8" w:space="0" w:color="2CE4CF" w:themeColor="accent3" w:themeTint="BF"/>
        <w:bottom w:val="single" w:sz="8" w:space="0" w:color="2CE4CF" w:themeColor="accent3" w:themeTint="BF"/>
        <w:right w:val="single" w:sz="8" w:space="0" w:color="2CE4CF" w:themeColor="accent3" w:themeTint="BF"/>
        <w:insideH w:val="single" w:sz="8" w:space="0" w:color="2CE4CF" w:themeColor="accent3" w:themeTint="BF"/>
        <w:insideV w:val="single" w:sz="8" w:space="0" w:color="2CE4CF" w:themeColor="accent3" w:themeTint="BF"/>
      </w:tblBorders>
      <w:tblCellMar>
        <w:top w:w="0" w:type="dxa"/>
        <w:left w:w="108" w:type="dxa"/>
        <w:bottom w:w="0" w:type="dxa"/>
        <w:right w:w="108" w:type="dxa"/>
      </w:tblCellMar>
    </w:tblPr>
    <w:tcPr>
      <w:shd w:val="clear" w:color="auto" w:fill="B9F6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2CE4CF" w:themeColor="accent3" w:themeTint="BF"/>
        </w:tcBorders>
      </w:tcPr>
    </w:tblStylePr>
    <w:tblStylePr w:type="firstCol">
      <w:rPr>
        <w:b/>
        <w:bCs/>
      </w:rPr>
    </w:tblStylePr>
    <w:tblStylePr w:type="lastCol">
      <w:rPr>
        <w:b/>
        <w:bCs/>
      </w:rPr>
    </w:tblStylePr>
    <w:tblStylePr w:type="band1Vert">
      <w:tblPr/>
      <w:tcPr>
        <w:shd w:val="clear" w:color="auto" w:fill="73EDDF" w:themeFill="accent3" w:themeFillTint="7F"/>
      </w:tcPr>
    </w:tblStylePr>
    <w:tblStylePr w:type="band1Horz">
      <w:tblPr/>
      <w:tcPr>
        <w:shd w:val="clear" w:color="auto" w:fill="73EDDF" w:themeFill="accent3" w:themeFillTint="7F"/>
      </w:tcPr>
    </w:tblStylePr>
  </w:style>
  <w:style w:type="table" w:styleId="MediumGrid1-Accent4">
    <w:name w:val="Medium Grid 1 Accent 4"/>
    <w:basedOn w:val="TableNormal"/>
    <w:uiPriority w:val="98"/>
    <w:rsid w:val="00C63303"/>
    <w:tblPr>
      <w:tblStyleRowBandSize w:val="1"/>
      <w:tblStyleColBandSize w:val="1"/>
      <w:tblInd w:w="0" w:type="dxa"/>
      <w:tblBorders>
        <w:top w:val="single" w:sz="8" w:space="0" w:color="8B7DB0" w:themeColor="accent4" w:themeTint="BF"/>
        <w:left w:val="single" w:sz="8" w:space="0" w:color="8B7DB0" w:themeColor="accent4" w:themeTint="BF"/>
        <w:bottom w:val="single" w:sz="8" w:space="0" w:color="8B7DB0" w:themeColor="accent4" w:themeTint="BF"/>
        <w:right w:val="single" w:sz="8" w:space="0" w:color="8B7DB0" w:themeColor="accent4" w:themeTint="BF"/>
        <w:insideH w:val="single" w:sz="8" w:space="0" w:color="8B7DB0" w:themeColor="accent4" w:themeTint="BF"/>
        <w:insideV w:val="single" w:sz="8" w:space="0" w:color="8B7DB0" w:themeColor="accent4" w:themeTint="BF"/>
      </w:tblBorders>
      <w:tblCellMar>
        <w:top w:w="0" w:type="dxa"/>
        <w:left w:w="108" w:type="dxa"/>
        <w:bottom w:w="0" w:type="dxa"/>
        <w:right w:w="108" w:type="dxa"/>
      </w:tblCellMar>
    </w:tblPr>
    <w:tcPr>
      <w:shd w:val="clear" w:color="auto" w:fill="D8D4E4"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B7DB0" w:themeColor="accent4" w:themeTint="BF"/>
        </w:tcBorders>
      </w:tcPr>
    </w:tblStylePr>
    <w:tblStylePr w:type="firstCol">
      <w:rPr>
        <w:b/>
        <w:bCs/>
      </w:rPr>
    </w:tblStylePr>
    <w:tblStylePr w:type="lastCol">
      <w:rPr>
        <w:b/>
        <w:bCs/>
      </w:rPr>
    </w:tblStylePr>
    <w:tblStylePr w:type="band1Vert">
      <w:tblPr/>
      <w:tcPr>
        <w:shd w:val="clear" w:color="auto" w:fill="B1A8CA" w:themeFill="accent4" w:themeFillTint="7F"/>
      </w:tcPr>
    </w:tblStylePr>
    <w:tblStylePr w:type="band1Horz">
      <w:tblPr/>
      <w:tcPr>
        <w:shd w:val="clear" w:color="auto" w:fill="B1A8CA" w:themeFill="accent4" w:themeFillTint="7F"/>
      </w:tcPr>
    </w:tblStylePr>
  </w:style>
  <w:style w:type="table" w:styleId="MediumGrid1-Accent5">
    <w:name w:val="Medium Grid 1 Accent 5"/>
    <w:basedOn w:val="TableNormal"/>
    <w:uiPriority w:val="98"/>
    <w:rsid w:val="00C63303"/>
    <w:tblPr>
      <w:tblStyleRowBandSize w:val="1"/>
      <w:tblStyleColBandSize w:val="1"/>
      <w:tblInd w:w="0" w:type="dxa"/>
      <w:tblBorders>
        <w:top w:val="single" w:sz="8" w:space="0" w:color="B59888" w:themeColor="accent5" w:themeTint="BF"/>
        <w:left w:val="single" w:sz="8" w:space="0" w:color="B59888" w:themeColor="accent5" w:themeTint="BF"/>
        <w:bottom w:val="single" w:sz="8" w:space="0" w:color="B59888" w:themeColor="accent5" w:themeTint="BF"/>
        <w:right w:val="single" w:sz="8" w:space="0" w:color="B59888" w:themeColor="accent5" w:themeTint="BF"/>
        <w:insideH w:val="single" w:sz="8" w:space="0" w:color="B59888" w:themeColor="accent5" w:themeTint="BF"/>
        <w:insideV w:val="single" w:sz="8" w:space="0" w:color="B59888" w:themeColor="accent5" w:themeTint="BF"/>
      </w:tblBorders>
      <w:tblCellMar>
        <w:top w:w="0" w:type="dxa"/>
        <w:left w:w="108" w:type="dxa"/>
        <w:bottom w:w="0" w:type="dxa"/>
        <w:right w:w="108" w:type="dxa"/>
      </w:tblCellMar>
    </w:tblPr>
    <w:tcPr>
      <w:shd w:val="clear" w:color="auto" w:fill="E6DDD7"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59888" w:themeColor="accent5" w:themeTint="BF"/>
        </w:tcBorders>
      </w:tcPr>
    </w:tblStylePr>
    <w:tblStylePr w:type="firstCol">
      <w:rPr>
        <w:b/>
        <w:bCs/>
      </w:rPr>
    </w:tblStylePr>
    <w:tblStylePr w:type="lastCol">
      <w:rPr>
        <w:b/>
        <w:bCs/>
      </w:rPr>
    </w:tblStylePr>
    <w:tblStylePr w:type="band1Vert">
      <w:tblPr/>
      <w:tcPr>
        <w:shd w:val="clear" w:color="auto" w:fill="CEBBB0" w:themeFill="accent5" w:themeFillTint="7F"/>
      </w:tcPr>
    </w:tblStylePr>
    <w:tblStylePr w:type="band1Horz">
      <w:tblPr/>
      <w:tcPr>
        <w:shd w:val="clear" w:color="auto" w:fill="CEBBB0" w:themeFill="accent5" w:themeFillTint="7F"/>
      </w:tcPr>
    </w:tblStylePr>
  </w:style>
  <w:style w:type="table" w:styleId="MediumGrid1-Accent6">
    <w:name w:val="Medium Grid 1 Accent 6"/>
    <w:basedOn w:val="TableNormal"/>
    <w:uiPriority w:val="98"/>
    <w:rsid w:val="00C63303"/>
    <w:tblPr>
      <w:tblStyleRowBandSize w:val="1"/>
      <w:tblStyleColBandSize w:val="1"/>
      <w:tblInd w:w="0" w:type="dxa"/>
      <w:tblBorders>
        <w:top w:val="single" w:sz="8" w:space="0" w:color="E8265A" w:themeColor="accent6" w:themeTint="BF"/>
        <w:left w:val="single" w:sz="8" w:space="0" w:color="E8265A" w:themeColor="accent6" w:themeTint="BF"/>
        <w:bottom w:val="single" w:sz="8" w:space="0" w:color="E8265A" w:themeColor="accent6" w:themeTint="BF"/>
        <w:right w:val="single" w:sz="8" w:space="0" w:color="E8265A" w:themeColor="accent6" w:themeTint="BF"/>
        <w:insideH w:val="single" w:sz="8" w:space="0" w:color="E8265A" w:themeColor="accent6" w:themeTint="BF"/>
        <w:insideV w:val="single" w:sz="8" w:space="0" w:color="E8265A" w:themeColor="accent6" w:themeTint="BF"/>
      </w:tblBorders>
      <w:tblCellMar>
        <w:top w:w="0" w:type="dxa"/>
        <w:left w:w="108" w:type="dxa"/>
        <w:bottom w:w="0" w:type="dxa"/>
        <w:right w:w="108" w:type="dxa"/>
      </w:tblCellMar>
    </w:tblPr>
    <w:tcPr>
      <w:shd w:val="clear" w:color="auto" w:fill="F7B7C8"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8265A" w:themeColor="accent6" w:themeTint="BF"/>
        </w:tcBorders>
      </w:tcPr>
    </w:tblStylePr>
    <w:tblStylePr w:type="firstCol">
      <w:rPr>
        <w:b/>
        <w:bCs/>
      </w:rPr>
    </w:tblStylePr>
    <w:tblStylePr w:type="lastCol">
      <w:rPr>
        <w:b/>
        <w:bCs/>
      </w:rPr>
    </w:tblStylePr>
    <w:tblStylePr w:type="band1Vert">
      <w:tblPr/>
      <w:tcPr>
        <w:shd w:val="clear" w:color="auto" w:fill="F06F91" w:themeFill="accent6" w:themeFillTint="7F"/>
      </w:tcPr>
    </w:tblStylePr>
    <w:tblStylePr w:type="band1Horz">
      <w:tblPr/>
      <w:tcPr>
        <w:shd w:val="clear" w:color="auto" w:fill="F06F91"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Ind w:w="0" w:type="dxa"/>
      <w:tblBorders>
        <w:top w:val="single" w:sz="8" w:space="0" w:color="00A5D4" w:themeColor="accent1"/>
        <w:left w:val="single" w:sz="8" w:space="0" w:color="00A5D4" w:themeColor="accent1"/>
        <w:bottom w:val="single" w:sz="8" w:space="0" w:color="00A5D4" w:themeColor="accent1"/>
        <w:right w:val="single" w:sz="8" w:space="0" w:color="00A5D4" w:themeColor="accent1"/>
        <w:insideH w:val="single" w:sz="8" w:space="0" w:color="00A5D4" w:themeColor="accent1"/>
        <w:insideV w:val="single" w:sz="8" w:space="0" w:color="00A5D4" w:themeColor="accent1"/>
      </w:tblBorders>
      <w:tblCellMar>
        <w:top w:w="0" w:type="dxa"/>
        <w:left w:w="108" w:type="dxa"/>
        <w:bottom w:w="0" w:type="dxa"/>
        <w:right w:w="108" w:type="dxa"/>
      </w:tblCellMar>
    </w:tblPr>
    <w:tcPr>
      <w:shd w:val="clear" w:color="auto" w:fill="B5EEF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1F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F1FF" w:themeFill="accent1" w:themeFillTint="33"/>
      </w:tcPr>
    </w:tblStylePr>
    <w:tblStylePr w:type="band1Vert">
      <w:tblPr/>
      <w:tcPr>
        <w:shd w:val="clear" w:color="auto" w:fill="6ADDFF" w:themeFill="accent1" w:themeFillTint="7F"/>
      </w:tcPr>
    </w:tblStylePr>
    <w:tblStylePr w:type="band1Horz">
      <w:tblPr/>
      <w:tcPr>
        <w:tcBorders>
          <w:insideH w:val="single" w:sz="6" w:space="0" w:color="00A5D4" w:themeColor="accent1"/>
          <w:insideV w:val="single" w:sz="6" w:space="0" w:color="00A5D4" w:themeColor="accent1"/>
        </w:tcBorders>
        <w:shd w:val="clear" w:color="auto" w:fill="6A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Ind w:w="0" w:type="dxa"/>
      <w:tblBorders>
        <w:top w:val="single" w:sz="8" w:space="0" w:color="F3C42C" w:themeColor="accent2"/>
        <w:left w:val="single" w:sz="8" w:space="0" w:color="F3C42C" w:themeColor="accent2"/>
        <w:bottom w:val="single" w:sz="8" w:space="0" w:color="F3C42C" w:themeColor="accent2"/>
        <w:right w:val="single" w:sz="8" w:space="0" w:color="F3C42C" w:themeColor="accent2"/>
        <w:insideH w:val="single" w:sz="8" w:space="0" w:color="F3C42C" w:themeColor="accent2"/>
        <w:insideV w:val="single" w:sz="8" w:space="0" w:color="F3C42C" w:themeColor="accent2"/>
      </w:tblBorders>
      <w:tblCellMar>
        <w:top w:w="0" w:type="dxa"/>
        <w:left w:w="108" w:type="dxa"/>
        <w:bottom w:w="0" w:type="dxa"/>
        <w:right w:w="108" w:type="dxa"/>
      </w:tblCellMar>
    </w:tblPr>
    <w:tcPr>
      <w:shd w:val="clear" w:color="auto" w:fill="FCF0CA"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F9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3D4" w:themeFill="accent2" w:themeFillTint="33"/>
      </w:tcPr>
    </w:tblStylePr>
    <w:tblStylePr w:type="band1Vert">
      <w:tblPr/>
      <w:tcPr>
        <w:shd w:val="clear" w:color="auto" w:fill="F9E195" w:themeFill="accent2" w:themeFillTint="7F"/>
      </w:tcPr>
    </w:tblStylePr>
    <w:tblStylePr w:type="band1Horz">
      <w:tblPr/>
      <w:tcPr>
        <w:tcBorders>
          <w:insideH w:val="single" w:sz="6" w:space="0" w:color="F3C42C" w:themeColor="accent2"/>
          <w:insideV w:val="single" w:sz="6" w:space="0" w:color="F3C42C" w:themeColor="accent2"/>
        </w:tcBorders>
        <w:shd w:val="clear" w:color="auto" w:fill="F9E19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Ind w:w="0" w:type="dxa"/>
      <w:tblBorders>
        <w:top w:val="single" w:sz="8" w:space="0" w:color="16AB9B" w:themeColor="accent3"/>
        <w:left w:val="single" w:sz="8" w:space="0" w:color="16AB9B" w:themeColor="accent3"/>
        <w:bottom w:val="single" w:sz="8" w:space="0" w:color="16AB9B" w:themeColor="accent3"/>
        <w:right w:val="single" w:sz="8" w:space="0" w:color="16AB9B" w:themeColor="accent3"/>
        <w:insideH w:val="single" w:sz="8" w:space="0" w:color="16AB9B" w:themeColor="accent3"/>
        <w:insideV w:val="single" w:sz="8" w:space="0" w:color="16AB9B" w:themeColor="accent3"/>
      </w:tblBorders>
      <w:tblCellMar>
        <w:top w:w="0" w:type="dxa"/>
        <w:left w:w="108" w:type="dxa"/>
        <w:bottom w:w="0" w:type="dxa"/>
        <w:right w:w="108" w:type="dxa"/>
      </w:tblCellMar>
    </w:tblPr>
    <w:tcPr>
      <w:shd w:val="clear" w:color="auto" w:fill="B9F6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3FB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F2" w:themeFill="accent3" w:themeFillTint="33"/>
      </w:tcPr>
    </w:tblStylePr>
    <w:tblStylePr w:type="band1Vert">
      <w:tblPr/>
      <w:tcPr>
        <w:shd w:val="clear" w:color="auto" w:fill="73EDDF" w:themeFill="accent3" w:themeFillTint="7F"/>
      </w:tcPr>
    </w:tblStylePr>
    <w:tblStylePr w:type="band1Horz">
      <w:tblPr/>
      <w:tcPr>
        <w:tcBorders>
          <w:insideH w:val="single" w:sz="6" w:space="0" w:color="16AB9B" w:themeColor="accent3"/>
          <w:insideV w:val="single" w:sz="6" w:space="0" w:color="16AB9B" w:themeColor="accent3"/>
        </w:tcBorders>
        <w:shd w:val="clear" w:color="auto" w:fill="73ED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Ind w:w="0" w:type="dxa"/>
      <w:tblBorders>
        <w:top w:val="single" w:sz="8" w:space="0" w:color="675890" w:themeColor="accent4"/>
        <w:left w:val="single" w:sz="8" w:space="0" w:color="675890" w:themeColor="accent4"/>
        <w:bottom w:val="single" w:sz="8" w:space="0" w:color="675890" w:themeColor="accent4"/>
        <w:right w:val="single" w:sz="8" w:space="0" w:color="675890" w:themeColor="accent4"/>
        <w:insideH w:val="single" w:sz="8" w:space="0" w:color="675890" w:themeColor="accent4"/>
        <w:insideV w:val="single" w:sz="8" w:space="0" w:color="675890" w:themeColor="accent4"/>
      </w:tblBorders>
      <w:tblCellMar>
        <w:top w:w="0" w:type="dxa"/>
        <w:left w:w="108" w:type="dxa"/>
        <w:bottom w:w="0" w:type="dxa"/>
        <w:right w:w="108" w:type="dxa"/>
      </w:tblCellMar>
    </w:tblPr>
    <w:tcPr>
      <w:shd w:val="clear" w:color="auto" w:fill="D8D4E4"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E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CEA" w:themeFill="accent4" w:themeFillTint="33"/>
      </w:tcPr>
    </w:tblStylePr>
    <w:tblStylePr w:type="band1Vert">
      <w:tblPr/>
      <w:tcPr>
        <w:shd w:val="clear" w:color="auto" w:fill="B1A8CA" w:themeFill="accent4" w:themeFillTint="7F"/>
      </w:tcPr>
    </w:tblStylePr>
    <w:tblStylePr w:type="band1Horz">
      <w:tblPr/>
      <w:tcPr>
        <w:tcBorders>
          <w:insideH w:val="single" w:sz="6" w:space="0" w:color="675890" w:themeColor="accent4"/>
          <w:insideV w:val="single" w:sz="6" w:space="0" w:color="675890" w:themeColor="accent4"/>
        </w:tcBorders>
        <w:shd w:val="clear" w:color="auto" w:fill="B1A8C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Ind w:w="0" w:type="dxa"/>
      <w:tblBorders>
        <w:top w:val="single" w:sz="8" w:space="0" w:color="9C7761" w:themeColor="accent5"/>
        <w:left w:val="single" w:sz="8" w:space="0" w:color="9C7761" w:themeColor="accent5"/>
        <w:bottom w:val="single" w:sz="8" w:space="0" w:color="9C7761" w:themeColor="accent5"/>
        <w:right w:val="single" w:sz="8" w:space="0" w:color="9C7761" w:themeColor="accent5"/>
        <w:insideH w:val="single" w:sz="8" w:space="0" w:color="9C7761" w:themeColor="accent5"/>
        <w:insideV w:val="single" w:sz="8" w:space="0" w:color="9C7761" w:themeColor="accent5"/>
      </w:tblBorders>
      <w:tblCellMar>
        <w:top w:w="0" w:type="dxa"/>
        <w:left w:w="108" w:type="dxa"/>
        <w:bottom w:w="0" w:type="dxa"/>
        <w:right w:w="108" w:type="dxa"/>
      </w:tblCellMar>
    </w:tblPr>
    <w:tcPr>
      <w:shd w:val="clear" w:color="auto" w:fill="E6DDD7"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1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3DF" w:themeFill="accent5" w:themeFillTint="33"/>
      </w:tcPr>
    </w:tblStylePr>
    <w:tblStylePr w:type="band1Vert">
      <w:tblPr/>
      <w:tcPr>
        <w:shd w:val="clear" w:color="auto" w:fill="CEBBB0" w:themeFill="accent5" w:themeFillTint="7F"/>
      </w:tcPr>
    </w:tblStylePr>
    <w:tblStylePr w:type="band1Horz">
      <w:tblPr/>
      <w:tcPr>
        <w:tcBorders>
          <w:insideH w:val="single" w:sz="6" w:space="0" w:color="9C7761" w:themeColor="accent5"/>
          <w:insideV w:val="single" w:sz="6" w:space="0" w:color="9C7761" w:themeColor="accent5"/>
        </w:tcBorders>
        <w:shd w:val="clear" w:color="auto" w:fill="CEBBB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Ind w:w="0" w:type="dxa"/>
      <w:tblBorders>
        <w:top w:val="single" w:sz="8" w:space="0" w:color="AD123C" w:themeColor="accent6"/>
        <w:left w:val="single" w:sz="8" w:space="0" w:color="AD123C" w:themeColor="accent6"/>
        <w:bottom w:val="single" w:sz="8" w:space="0" w:color="AD123C" w:themeColor="accent6"/>
        <w:right w:val="single" w:sz="8" w:space="0" w:color="AD123C" w:themeColor="accent6"/>
        <w:insideH w:val="single" w:sz="8" w:space="0" w:color="AD123C" w:themeColor="accent6"/>
        <w:insideV w:val="single" w:sz="8" w:space="0" w:color="AD123C" w:themeColor="accent6"/>
      </w:tblBorders>
      <w:tblCellMar>
        <w:top w:w="0" w:type="dxa"/>
        <w:left w:w="108" w:type="dxa"/>
        <w:bottom w:w="0" w:type="dxa"/>
        <w:right w:w="108" w:type="dxa"/>
      </w:tblCellMar>
    </w:tblPr>
    <w:tcPr>
      <w:shd w:val="clear" w:color="auto" w:fill="F7B7C8"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CE2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5D3" w:themeFill="accent6" w:themeFillTint="33"/>
      </w:tcPr>
    </w:tblStylePr>
    <w:tblStylePr w:type="band1Vert">
      <w:tblPr/>
      <w:tcPr>
        <w:shd w:val="clear" w:color="auto" w:fill="F06F91" w:themeFill="accent6" w:themeFillTint="7F"/>
      </w:tcPr>
    </w:tblStylePr>
    <w:tblStylePr w:type="band1Horz">
      <w:tblPr/>
      <w:tcPr>
        <w:tcBorders>
          <w:insideH w:val="single" w:sz="6" w:space="0" w:color="AD123C" w:themeColor="accent6"/>
          <w:insideV w:val="single" w:sz="6" w:space="0" w:color="AD123C" w:themeColor="accent6"/>
        </w:tcBorders>
        <w:shd w:val="clear" w:color="auto" w:fill="F06F9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EEF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D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D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D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D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DDFF" w:themeFill="accent1" w:themeFillTint="7F"/>
      </w:tcPr>
    </w:tblStylePr>
  </w:style>
  <w:style w:type="table" w:styleId="MediumGrid3-Accent2">
    <w:name w:val="Medium Grid 3 Accent 2"/>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F0CA"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C42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C42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C42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C42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E19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E195" w:themeFill="accent2" w:themeFillTint="7F"/>
      </w:tcPr>
    </w:tblStylePr>
  </w:style>
  <w:style w:type="table" w:styleId="MediumGrid3-Accent3">
    <w:name w:val="Medium Grid 3 Accent 3"/>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9F6E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AB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AB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AB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AB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D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DDF" w:themeFill="accent3" w:themeFillTint="7F"/>
      </w:tcPr>
    </w:tblStylePr>
  </w:style>
  <w:style w:type="table" w:styleId="MediumGrid3-Accent4">
    <w:name w:val="Medium Grid 3 Accent 4"/>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4E4"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8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8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8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8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A8C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A8CA" w:themeFill="accent4" w:themeFillTint="7F"/>
      </w:tcPr>
    </w:tblStylePr>
  </w:style>
  <w:style w:type="table" w:styleId="MediumGrid3-Accent5">
    <w:name w:val="Medium Grid 3 Accent 5"/>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DDD7"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776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776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776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776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BB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BBB0" w:themeFill="accent5" w:themeFillTint="7F"/>
      </w:tcPr>
    </w:tblStylePr>
  </w:style>
  <w:style w:type="table" w:styleId="MediumGrid3-Accent6">
    <w:name w:val="Medium Grid 3 Accent 6"/>
    <w:basedOn w:val="TableNormal"/>
    <w:uiPriority w:val="98"/>
    <w:rsid w:val="00C633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7B7C8"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12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12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12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12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6F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6F91"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C2A2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Ind w:w="0" w:type="dxa"/>
      <w:tblBorders>
        <w:top w:val="single" w:sz="8" w:space="0" w:color="00A5D4" w:themeColor="accent1"/>
        <w:bottom w:val="single" w:sz="8" w:space="0" w:color="00A5D4"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A5D4" w:themeColor="accent1"/>
        </w:tcBorders>
      </w:tcPr>
    </w:tblStylePr>
    <w:tblStylePr w:type="lastRow">
      <w:rPr>
        <w:b/>
        <w:bCs/>
        <w:color w:val="2C2A29" w:themeColor="text2"/>
      </w:rPr>
      <w:tblPr/>
      <w:tcPr>
        <w:tcBorders>
          <w:top w:val="single" w:sz="8" w:space="0" w:color="00A5D4" w:themeColor="accent1"/>
          <w:bottom w:val="single" w:sz="8" w:space="0" w:color="00A5D4" w:themeColor="accent1"/>
        </w:tcBorders>
      </w:tcPr>
    </w:tblStylePr>
    <w:tblStylePr w:type="firstCol">
      <w:rPr>
        <w:b/>
        <w:bCs/>
      </w:rPr>
    </w:tblStylePr>
    <w:tblStylePr w:type="lastCol">
      <w:rPr>
        <w:b/>
        <w:bCs/>
      </w:rPr>
      <w:tblPr/>
      <w:tcPr>
        <w:tcBorders>
          <w:top w:val="single" w:sz="8" w:space="0" w:color="00A5D4" w:themeColor="accent1"/>
          <w:bottom w:val="single" w:sz="8" w:space="0" w:color="00A5D4" w:themeColor="accent1"/>
        </w:tcBorders>
      </w:tcPr>
    </w:tblStylePr>
    <w:tblStylePr w:type="band1Vert">
      <w:tblPr/>
      <w:tcPr>
        <w:shd w:val="clear" w:color="auto" w:fill="B5EEFF" w:themeFill="accent1" w:themeFillTint="3F"/>
      </w:tcPr>
    </w:tblStylePr>
    <w:tblStylePr w:type="band1Horz">
      <w:tblPr/>
      <w:tcPr>
        <w:shd w:val="clear" w:color="auto" w:fill="B5EEFF"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Ind w:w="0" w:type="dxa"/>
      <w:tblBorders>
        <w:top w:val="single" w:sz="8" w:space="0" w:color="F3C42C" w:themeColor="accent2"/>
        <w:bottom w:val="single" w:sz="8" w:space="0" w:color="F3C42C"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3C42C" w:themeColor="accent2"/>
        </w:tcBorders>
      </w:tcPr>
    </w:tblStylePr>
    <w:tblStylePr w:type="lastRow">
      <w:rPr>
        <w:b/>
        <w:bCs/>
        <w:color w:val="2C2A29" w:themeColor="text2"/>
      </w:rPr>
      <w:tblPr/>
      <w:tcPr>
        <w:tcBorders>
          <w:top w:val="single" w:sz="8" w:space="0" w:color="F3C42C" w:themeColor="accent2"/>
          <w:bottom w:val="single" w:sz="8" w:space="0" w:color="F3C42C" w:themeColor="accent2"/>
        </w:tcBorders>
      </w:tcPr>
    </w:tblStylePr>
    <w:tblStylePr w:type="firstCol">
      <w:rPr>
        <w:b/>
        <w:bCs/>
      </w:rPr>
    </w:tblStylePr>
    <w:tblStylePr w:type="lastCol">
      <w:rPr>
        <w:b/>
        <w:bCs/>
      </w:rPr>
      <w:tblPr/>
      <w:tcPr>
        <w:tcBorders>
          <w:top w:val="single" w:sz="8" w:space="0" w:color="F3C42C" w:themeColor="accent2"/>
          <w:bottom w:val="single" w:sz="8" w:space="0" w:color="F3C42C" w:themeColor="accent2"/>
        </w:tcBorders>
      </w:tcPr>
    </w:tblStylePr>
    <w:tblStylePr w:type="band1Vert">
      <w:tblPr/>
      <w:tcPr>
        <w:shd w:val="clear" w:color="auto" w:fill="FCF0CA" w:themeFill="accent2" w:themeFillTint="3F"/>
      </w:tcPr>
    </w:tblStylePr>
    <w:tblStylePr w:type="band1Horz">
      <w:tblPr/>
      <w:tcPr>
        <w:shd w:val="clear" w:color="auto" w:fill="FCF0CA"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Ind w:w="0" w:type="dxa"/>
      <w:tblBorders>
        <w:top w:val="single" w:sz="8" w:space="0" w:color="16AB9B" w:themeColor="accent3"/>
        <w:bottom w:val="single" w:sz="8" w:space="0" w:color="16AB9B"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16AB9B" w:themeColor="accent3"/>
        </w:tcBorders>
      </w:tcPr>
    </w:tblStylePr>
    <w:tblStylePr w:type="lastRow">
      <w:rPr>
        <w:b/>
        <w:bCs/>
        <w:color w:val="2C2A29" w:themeColor="text2"/>
      </w:rPr>
      <w:tblPr/>
      <w:tcPr>
        <w:tcBorders>
          <w:top w:val="single" w:sz="8" w:space="0" w:color="16AB9B" w:themeColor="accent3"/>
          <w:bottom w:val="single" w:sz="8" w:space="0" w:color="16AB9B" w:themeColor="accent3"/>
        </w:tcBorders>
      </w:tcPr>
    </w:tblStylePr>
    <w:tblStylePr w:type="firstCol">
      <w:rPr>
        <w:b/>
        <w:bCs/>
      </w:rPr>
    </w:tblStylePr>
    <w:tblStylePr w:type="lastCol">
      <w:rPr>
        <w:b/>
        <w:bCs/>
      </w:rPr>
      <w:tblPr/>
      <w:tcPr>
        <w:tcBorders>
          <w:top w:val="single" w:sz="8" w:space="0" w:color="16AB9B" w:themeColor="accent3"/>
          <w:bottom w:val="single" w:sz="8" w:space="0" w:color="16AB9B" w:themeColor="accent3"/>
        </w:tcBorders>
      </w:tcPr>
    </w:tblStylePr>
    <w:tblStylePr w:type="band1Vert">
      <w:tblPr/>
      <w:tcPr>
        <w:shd w:val="clear" w:color="auto" w:fill="B9F6EF" w:themeFill="accent3" w:themeFillTint="3F"/>
      </w:tcPr>
    </w:tblStylePr>
    <w:tblStylePr w:type="band1Horz">
      <w:tblPr/>
      <w:tcPr>
        <w:shd w:val="clear" w:color="auto" w:fill="B9F6EF"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Ind w:w="0" w:type="dxa"/>
      <w:tblBorders>
        <w:top w:val="single" w:sz="8" w:space="0" w:color="675890" w:themeColor="accent4"/>
        <w:bottom w:val="single" w:sz="8" w:space="0" w:color="67589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75890" w:themeColor="accent4"/>
        </w:tcBorders>
      </w:tcPr>
    </w:tblStylePr>
    <w:tblStylePr w:type="lastRow">
      <w:rPr>
        <w:b/>
        <w:bCs/>
        <w:color w:val="2C2A29" w:themeColor="text2"/>
      </w:rPr>
      <w:tblPr/>
      <w:tcPr>
        <w:tcBorders>
          <w:top w:val="single" w:sz="8" w:space="0" w:color="675890" w:themeColor="accent4"/>
          <w:bottom w:val="single" w:sz="8" w:space="0" w:color="675890" w:themeColor="accent4"/>
        </w:tcBorders>
      </w:tcPr>
    </w:tblStylePr>
    <w:tblStylePr w:type="firstCol">
      <w:rPr>
        <w:b/>
        <w:bCs/>
      </w:rPr>
    </w:tblStylePr>
    <w:tblStylePr w:type="lastCol">
      <w:rPr>
        <w:b/>
        <w:bCs/>
      </w:rPr>
      <w:tblPr/>
      <w:tcPr>
        <w:tcBorders>
          <w:top w:val="single" w:sz="8" w:space="0" w:color="675890" w:themeColor="accent4"/>
          <w:bottom w:val="single" w:sz="8" w:space="0" w:color="675890" w:themeColor="accent4"/>
        </w:tcBorders>
      </w:tcPr>
    </w:tblStylePr>
    <w:tblStylePr w:type="band1Vert">
      <w:tblPr/>
      <w:tcPr>
        <w:shd w:val="clear" w:color="auto" w:fill="D8D4E4" w:themeFill="accent4" w:themeFillTint="3F"/>
      </w:tcPr>
    </w:tblStylePr>
    <w:tblStylePr w:type="band1Horz">
      <w:tblPr/>
      <w:tcPr>
        <w:shd w:val="clear" w:color="auto" w:fill="D8D4E4"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Ind w:w="0" w:type="dxa"/>
      <w:tblBorders>
        <w:top w:val="single" w:sz="8" w:space="0" w:color="9C7761" w:themeColor="accent5"/>
        <w:bottom w:val="single" w:sz="8" w:space="0" w:color="9C7761"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C7761" w:themeColor="accent5"/>
        </w:tcBorders>
      </w:tcPr>
    </w:tblStylePr>
    <w:tblStylePr w:type="lastRow">
      <w:rPr>
        <w:b/>
        <w:bCs/>
        <w:color w:val="2C2A29" w:themeColor="text2"/>
      </w:rPr>
      <w:tblPr/>
      <w:tcPr>
        <w:tcBorders>
          <w:top w:val="single" w:sz="8" w:space="0" w:color="9C7761" w:themeColor="accent5"/>
          <w:bottom w:val="single" w:sz="8" w:space="0" w:color="9C7761" w:themeColor="accent5"/>
        </w:tcBorders>
      </w:tcPr>
    </w:tblStylePr>
    <w:tblStylePr w:type="firstCol">
      <w:rPr>
        <w:b/>
        <w:bCs/>
      </w:rPr>
    </w:tblStylePr>
    <w:tblStylePr w:type="lastCol">
      <w:rPr>
        <w:b/>
        <w:bCs/>
      </w:rPr>
      <w:tblPr/>
      <w:tcPr>
        <w:tcBorders>
          <w:top w:val="single" w:sz="8" w:space="0" w:color="9C7761" w:themeColor="accent5"/>
          <w:bottom w:val="single" w:sz="8" w:space="0" w:color="9C7761" w:themeColor="accent5"/>
        </w:tcBorders>
      </w:tcPr>
    </w:tblStylePr>
    <w:tblStylePr w:type="band1Vert">
      <w:tblPr/>
      <w:tcPr>
        <w:shd w:val="clear" w:color="auto" w:fill="E6DDD7" w:themeFill="accent5" w:themeFillTint="3F"/>
      </w:tcPr>
    </w:tblStylePr>
    <w:tblStylePr w:type="band1Horz">
      <w:tblPr/>
      <w:tcPr>
        <w:shd w:val="clear" w:color="auto" w:fill="E6DDD7"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Ind w:w="0" w:type="dxa"/>
      <w:tblBorders>
        <w:top w:val="single" w:sz="8" w:space="0" w:color="AD123C" w:themeColor="accent6"/>
        <w:bottom w:val="single" w:sz="8" w:space="0" w:color="AD123C"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D123C" w:themeColor="accent6"/>
        </w:tcBorders>
      </w:tcPr>
    </w:tblStylePr>
    <w:tblStylePr w:type="lastRow">
      <w:rPr>
        <w:b/>
        <w:bCs/>
        <w:color w:val="2C2A29" w:themeColor="text2"/>
      </w:rPr>
      <w:tblPr/>
      <w:tcPr>
        <w:tcBorders>
          <w:top w:val="single" w:sz="8" w:space="0" w:color="AD123C" w:themeColor="accent6"/>
          <w:bottom w:val="single" w:sz="8" w:space="0" w:color="AD123C" w:themeColor="accent6"/>
        </w:tcBorders>
      </w:tcPr>
    </w:tblStylePr>
    <w:tblStylePr w:type="firstCol">
      <w:rPr>
        <w:b/>
        <w:bCs/>
      </w:rPr>
    </w:tblStylePr>
    <w:tblStylePr w:type="lastCol">
      <w:rPr>
        <w:b/>
        <w:bCs/>
      </w:rPr>
      <w:tblPr/>
      <w:tcPr>
        <w:tcBorders>
          <w:top w:val="single" w:sz="8" w:space="0" w:color="AD123C" w:themeColor="accent6"/>
          <w:bottom w:val="single" w:sz="8" w:space="0" w:color="AD123C" w:themeColor="accent6"/>
        </w:tcBorders>
      </w:tcPr>
    </w:tblStylePr>
    <w:tblStylePr w:type="band1Vert">
      <w:tblPr/>
      <w:tcPr>
        <w:shd w:val="clear" w:color="auto" w:fill="F7B7C8" w:themeFill="accent6" w:themeFillTint="3F"/>
      </w:tcPr>
    </w:tblStylePr>
    <w:tblStylePr w:type="band1Horz">
      <w:tblPr/>
      <w:tcPr>
        <w:shd w:val="clear" w:color="auto" w:fill="F7B7C8"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Ind w:w="0" w:type="dxa"/>
      <w:tblBorders>
        <w:top w:val="single" w:sz="8" w:space="0" w:color="00A5D4" w:themeColor="accent1"/>
        <w:left w:val="single" w:sz="8" w:space="0" w:color="00A5D4" w:themeColor="accent1"/>
        <w:bottom w:val="single" w:sz="8" w:space="0" w:color="00A5D4" w:themeColor="accent1"/>
        <w:right w:val="single" w:sz="8" w:space="0" w:color="00A5D4"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A5D4" w:themeColor="accent1"/>
          <w:right w:val="nil"/>
          <w:insideH w:val="nil"/>
          <w:insideV w:val="nil"/>
        </w:tcBorders>
        <w:shd w:val="clear" w:color="auto" w:fill="FFFFFF" w:themeFill="background1"/>
      </w:tcPr>
    </w:tblStylePr>
    <w:tblStylePr w:type="lastRow">
      <w:tblPr/>
      <w:tcPr>
        <w:tcBorders>
          <w:top w:val="single" w:sz="8" w:space="0" w:color="00A5D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D4" w:themeColor="accent1"/>
          <w:insideH w:val="nil"/>
          <w:insideV w:val="nil"/>
        </w:tcBorders>
        <w:shd w:val="clear" w:color="auto" w:fill="FFFFFF" w:themeFill="background1"/>
      </w:tcPr>
    </w:tblStylePr>
    <w:tblStylePr w:type="lastCol">
      <w:tblPr/>
      <w:tcPr>
        <w:tcBorders>
          <w:top w:val="nil"/>
          <w:left w:val="single" w:sz="8" w:space="0" w:color="00A5D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EEFF" w:themeFill="accent1" w:themeFillTint="3F"/>
      </w:tcPr>
    </w:tblStylePr>
    <w:tblStylePr w:type="band1Horz">
      <w:tblPr/>
      <w:tcPr>
        <w:tcBorders>
          <w:top w:val="nil"/>
          <w:bottom w:val="nil"/>
          <w:insideH w:val="nil"/>
          <w:insideV w:val="nil"/>
        </w:tcBorders>
        <w:shd w:val="clear" w:color="auto" w:fill="B5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Ind w:w="0" w:type="dxa"/>
      <w:tblBorders>
        <w:top w:val="single" w:sz="8" w:space="0" w:color="F3C42C" w:themeColor="accent2"/>
        <w:left w:val="single" w:sz="8" w:space="0" w:color="F3C42C" w:themeColor="accent2"/>
        <w:bottom w:val="single" w:sz="8" w:space="0" w:color="F3C42C" w:themeColor="accent2"/>
        <w:right w:val="single" w:sz="8" w:space="0" w:color="F3C42C"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3C42C" w:themeColor="accent2"/>
          <w:right w:val="nil"/>
          <w:insideH w:val="nil"/>
          <w:insideV w:val="nil"/>
        </w:tcBorders>
        <w:shd w:val="clear" w:color="auto" w:fill="FFFFFF" w:themeFill="background1"/>
      </w:tcPr>
    </w:tblStylePr>
    <w:tblStylePr w:type="lastRow">
      <w:tblPr/>
      <w:tcPr>
        <w:tcBorders>
          <w:top w:val="single" w:sz="8" w:space="0" w:color="F3C42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C42C" w:themeColor="accent2"/>
          <w:insideH w:val="nil"/>
          <w:insideV w:val="nil"/>
        </w:tcBorders>
        <w:shd w:val="clear" w:color="auto" w:fill="FFFFFF" w:themeFill="background1"/>
      </w:tcPr>
    </w:tblStylePr>
    <w:tblStylePr w:type="lastCol">
      <w:tblPr/>
      <w:tcPr>
        <w:tcBorders>
          <w:top w:val="nil"/>
          <w:left w:val="single" w:sz="8" w:space="0" w:color="F3C42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0CA" w:themeFill="accent2" w:themeFillTint="3F"/>
      </w:tcPr>
    </w:tblStylePr>
    <w:tblStylePr w:type="band1Horz">
      <w:tblPr/>
      <w:tcPr>
        <w:tcBorders>
          <w:top w:val="nil"/>
          <w:bottom w:val="nil"/>
          <w:insideH w:val="nil"/>
          <w:insideV w:val="nil"/>
        </w:tcBorders>
        <w:shd w:val="clear" w:color="auto" w:fill="FCF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Ind w:w="0" w:type="dxa"/>
      <w:tblBorders>
        <w:top w:val="single" w:sz="8" w:space="0" w:color="16AB9B" w:themeColor="accent3"/>
        <w:left w:val="single" w:sz="8" w:space="0" w:color="16AB9B" w:themeColor="accent3"/>
        <w:bottom w:val="single" w:sz="8" w:space="0" w:color="16AB9B" w:themeColor="accent3"/>
        <w:right w:val="single" w:sz="8" w:space="0" w:color="16AB9B"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16AB9B" w:themeColor="accent3"/>
          <w:right w:val="nil"/>
          <w:insideH w:val="nil"/>
          <w:insideV w:val="nil"/>
        </w:tcBorders>
        <w:shd w:val="clear" w:color="auto" w:fill="FFFFFF" w:themeFill="background1"/>
      </w:tcPr>
    </w:tblStylePr>
    <w:tblStylePr w:type="lastRow">
      <w:tblPr/>
      <w:tcPr>
        <w:tcBorders>
          <w:top w:val="single" w:sz="8" w:space="0" w:color="16AB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AB9B" w:themeColor="accent3"/>
          <w:insideH w:val="nil"/>
          <w:insideV w:val="nil"/>
        </w:tcBorders>
        <w:shd w:val="clear" w:color="auto" w:fill="FFFFFF" w:themeFill="background1"/>
      </w:tcPr>
    </w:tblStylePr>
    <w:tblStylePr w:type="lastCol">
      <w:tblPr/>
      <w:tcPr>
        <w:tcBorders>
          <w:top w:val="nil"/>
          <w:left w:val="single" w:sz="8" w:space="0" w:color="16AB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6EF" w:themeFill="accent3" w:themeFillTint="3F"/>
      </w:tcPr>
    </w:tblStylePr>
    <w:tblStylePr w:type="band1Horz">
      <w:tblPr/>
      <w:tcPr>
        <w:tcBorders>
          <w:top w:val="nil"/>
          <w:bottom w:val="nil"/>
          <w:insideH w:val="nil"/>
          <w:insideV w:val="nil"/>
        </w:tcBorders>
        <w:shd w:val="clear" w:color="auto" w:fill="B9F6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Ind w:w="0" w:type="dxa"/>
      <w:tblBorders>
        <w:top w:val="single" w:sz="8" w:space="0" w:color="675890" w:themeColor="accent4"/>
        <w:left w:val="single" w:sz="8" w:space="0" w:color="675890" w:themeColor="accent4"/>
        <w:bottom w:val="single" w:sz="8" w:space="0" w:color="675890" w:themeColor="accent4"/>
        <w:right w:val="single" w:sz="8" w:space="0" w:color="67589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75890" w:themeColor="accent4"/>
          <w:right w:val="nil"/>
          <w:insideH w:val="nil"/>
          <w:insideV w:val="nil"/>
        </w:tcBorders>
        <w:shd w:val="clear" w:color="auto" w:fill="FFFFFF" w:themeFill="background1"/>
      </w:tcPr>
    </w:tblStylePr>
    <w:tblStylePr w:type="lastRow">
      <w:tblPr/>
      <w:tcPr>
        <w:tcBorders>
          <w:top w:val="single" w:sz="8" w:space="0" w:color="6758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890" w:themeColor="accent4"/>
          <w:insideH w:val="nil"/>
          <w:insideV w:val="nil"/>
        </w:tcBorders>
        <w:shd w:val="clear" w:color="auto" w:fill="FFFFFF" w:themeFill="background1"/>
      </w:tcPr>
    </w:tblStylePr>
    <w:tblStylePr w:type="lastCol">
      <w:tblPr/>
      <w:tcPr>
        <w:tcBorders>
          <w:top w:val="nil"/>
          <w:left w:val="single" w:sz="8" w:space="0" w:color="6758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4E4" w:themeFill="accent4" w:themeFillTint="3F"/>
      </w:tcPr>
    </w:tblStylePr>
    <w:tblStylePr w:type="band1Horz">
      <w:tblPr/>
      <w:tcPr>
        <w:tcBorders>
          <w:top w:val="nil"/>
          <w:bottom w:val="nil"/>
          <w:insideH w:val="nil"/>
          <w:insideV w:val="nil"/>
        </w:tcBorders>
        <w:shd w:val="clear" w:color="auto" w:fill="D8D4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Ind w:w="0" w:type="dxa"/>
      <w:tblBorders>
        <w:top w:val="single" w:sz="8" w:space="0" w:color="9C7761" w:themeColor="accent5"/>
        <w:left w:val="single" w:sz="8" w:space="0" w:color="9C7761" w:themeColor="accent5"/>
        <w:bottom w:val="single" w:sz="8" w:space="0" w:color="9C7761" w:themeColor="accent5"/>
        <w:right w:val="single" w:sz="8" w:space="0" w:color="9C7761"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C7761" w:themeColor="accent5"/>
          <w:right w:val="nil"/>
          <w:insideH w:val="nil"/>
          <w:insideV w:val="nil"/>
        </w:tcBorders>
        <w:shd w:val="clear" w:color="auto" w:fill="FFFFFF" w:themeFill="background1"/>
      </w:tcPr>
    </w:tblStylePr>
    <w:tblStylePr w:type="lastRow">
      <w:tblPr/>
      <w:tcPr>
        <w:tcBorders>
          <w:top w:val="single" w:sz="8" w:space="0" w:color="9C776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7761" w:themeColor="accent5"/>
          <w:insideH w:val="nil"/>
          <w:insideV w:val="nil"/>
        </w:tcBorders>
        <w:shd w:val="clear" w:color="auto" w:fill="FFFFFF" w:themeFill="background1"/>
      </w:tcPr>
    </w:tblStylePr>
    <w:tblStylePr w:type="lastCol">
      <w:tblPr/>
      <w:tcPr>
        <w:tcBorders>
          <w:top w:val="nil"/>
          <w:left w:val="single" w:sz="8" w:space="0" w:color="9C776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DD7" w:themeFill="accent5" w:themeFillTint="3F"/>
      </w:tcPr>
    </w:tblStylePr>
    <w:tblStylePr w:type="band1Horz">
      <w:tblPr/>
      <w:tcPr>
        <w:tcBorders>
          <w:top w:val="nil"/>
          <w:bottom w:val="nil"/>
          <w:insideH w:val="nil"/>
          <w:insideV w:val="nil"/>
        </w:tcBorders>
        <w:shd w:val="clear" w:color="auto" w:fill="E6DD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Ind w:w="0" w:type="dxa"/>
      <w:tblBorders>
        <w:top w:val="single" w:sz="8" w:space="0" w:color="AD123C" w:themeColor="accent6"/>
        <w:left w:val="single" w:sz="8" w:space="0" w:color="AD123C" w:themeColor="accent6"/>
        <w:bottom w:val="single" w:sz="8" w:space="0" w:color="AD123C" w:themeColor="accent6"/>
        <w:right w:val="single" w:sz="8" w:space="0" w:color="AD123C"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D123C" w:themeColor="accent6"/>
          <w:right w:val="nil"/>
          <w:insideH w:val="nil"/>
          <w:insideV w:val="nil"/>
        </w:tcBorders>
        <w:shd w:val="clear" w:color="auto" w:fill="FFFFFF" w:themeFill="background1"/>
      </w:tcPr>
    </w:tblStylePr>
    <w:tblStylePr w:type="lastRow">
      <w:tblPr/>
      <w:tcPr>
        <w:tcBorders>
          <w:top w:val="single" w:sz="8" w:space="0" w:color="AD12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123C" w:themeColor="accent6"/>
          <w:insideH w:val="nil"/>
          <w:insideV w:val="nil"/>
        </w:tcBorders>
        <w:shd w:val="clear" w:color="auto" w:fill="FFFFFF" w:themeFill="background1"/>
      </w:tcPr>
    </w:tblStylePr>
    <w:tblStylePr w:type="lastCol">
      <w:tblPr/>
      <w:tcPr>
        <w:tcBorders>
          <w:top w:val="nil"/>
          <w:left w:val="single" w:sz="8" w:space="0" w:color="AD12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B7C8" w:themeFill="accent6" w:themeFillTint="3F"/>
      </w:tcPr>
    </w:tblStylePr>
    <w:tblStylePr w:type="band1Horz">
      <w:tblPr/>
      <w:tcPr>
        <w:tcBorders>
          <w:top w:val="nil"/>
          <w:bottom w:val="nil"/>
          <w:insideH w:val="nil"/>
          <w:insideV w:val="nil"/>
        </w:tcBorders>
        <w:shd w:val="clear" w:color="auto" w:fill="F7B7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Ind w:w="0" w:type="dxa"/>
      <w:tblBorders>
        <w:top w:val="single" w:sz="8" w:space="0" w:color="1FCDFF" w:themeColor="accent1" w:themeTint="BF"/>
        <w:left w:val="single" w:sz="8" w:space="0" w:color="1FCDFF" w:themeColor="accent1" w:themeTint="BF"/>
        <w:bottom w:val="single" w:sz="8" w:space="0" w:color="1FCDFF" w:themeColor="accent1" w:themeTint="BF"/>
        <w:right w:val="single" w:sz="8" w:space="0" w:color="1FCDFF" w:themeColor="accent1" w:themeTint="BF"/>
        <w:insideH w:val="single" w:sz="8" w:space="0" w:color="1FCDFF" w:themeColor="accent1"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1FCDFF" w:themeColor="accent1" w:themeTint="BF"/>
          <w:left w:val="single" w:sz="8" w:space="0" w:color="1FCDFF" w:themeColor="accent1" w:themeTint="BF"/>
          <w:bottom w:val="single" w:sz="8" w:space="0" w:color="1FCDFF" w:themeColor="accent1" w:themeTint="BF"/>
          <w:right w:val="single" w:sz="8" w:space="0" w:color="1FCDFF" w:themeColor="accent1" w:themeTint="BF"/>
          <w:insideH w:val="nil"/>
          <w:insideV w:val="nil"/>
        </w:tcBorders>
        <w:shd w:val="clear" w:color="auto" w:fill="00A5D4" w:themeFill="accent1"/>
      </w:tcPr>
    </w:tblStylePr>
    <w:tblStylePr w:type="lastRow">
      <w:pPr>
        <w:spacing w:before="0" w:after="0" w:line="240" w:lineRule="auto"/>
      </w:pPr>
      <w:rPr>
        <w:b/>
        <w:bCs/>
      </w:rPr>
      <w:tblPr/>
      <w:tcPr>
        <w:tcBorders>
          <w:top w:val="double" w:sz="6" w:space="0" w:color="1FCDFF" w:themeColor="accent1" w:themeTint="BF"/>
          <w:left w:val="single" w:sz="8" w:space="0" w:color="1FCDFF" w:themeColor="accent1" w:themeTint="BF"/>
          <w:bottom w:val="single" w:sz="8" w:space="0" w:color="1FCDFF" w:themeColor="accent1" w:themeTint="BF"/>
          <w:right w:val="single" w:sz="8" w:space="0" w:color="1FCD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EEFF" w:themeFill="accent1" w:themeFillTint="3F"/>
      </w:tcPr>
    </w:tblStylePr>
    <w:tblStylePr w:type="band1Horz">
      <w:tblPr/>
      <w:tcPr>
        <w:tcBorders>
          <w:insideH w:val="nil"/>
          <w:insideV w:val="nil"/>
        </w:tcBorders>
        <w:shd w:val="clear" w:color="auto" w:fill="B5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Ind w:w="0" w:type="dxa"/>
      <w:tblBorders>
        <w:top w:val="single" w:sz="8" w:space="0" w:color="F6D260" w:themeColor="accent2" w:themeTint="BF"/>
        <w:left w:val="single" w:sz="8" w:space="0" w:color="F6D260" w:themeColor="accent2" w:themeTint="BF"/>
        <w:bottom w:val="single" w:sz="8" w:space="0" w:color="F6D260" w:themeColor="accent2" w:themeTint="BF"/>
        <w:right w:val="single" w:sz="8" w:space="0" w:color="F6D260" w:themeColor="accent2" w:themeTint="BF"/>
        <w:insideH w:val="single" w:sz="8" w:space="0" w:color="F6D260" w:themeColor="accent2"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6D260" w:themeColor="accent2" w:themeTint="BF"/>
          <w:left w:val="single" w:sz="8" w:space="0" w:color="F6D260" w:themeColor="accent2" w:themeTint="BF"/>
          <w:bottom w:val="single" w:sz="8" w:space="0" w:color="F6D260" w:themeColor="accent2" w:themeTint="BF"/>
          <w:right w:val="single" w:sz="8" w:space="0" w:color="F6D260" w:themeColor="accent2" w:themeTint="BF"/>
          <w:insideH w:val="nil"/>
          <w:insideV w:val="nil"/>
        </w:tcBorders>
        <w:shd w:val="clear" w:color="auto" w:fill="F3C42C" w:themeFill="accent2"/>
      </w:tcPr>
    </w:tblStylePr>
    <w:tblStylePr w:type="lastRow">
      <w:pPr>
        <w:spacing w:before="0" w:after="0" w:line="240" w:lineRule="auto"/>
      </w:pPr>
      <w:rPr>
        <w:b/>
        <w:bCs/>
      </w:rPr>
      <w:tblPr/>
      <w:tcPr>
        <w:tcBorders>
          <w:top w:val="double" w:sz="6" w:space="0" w:color="F6D260" w:themeColor="accent2" w:themeTint="BF"/>
          <w:left w:val="single" w:sz="8" w:space="0" w:color="F6D260" w:themeColor="accent2" w:themeTint="BF"/>
          <w:bottom w:val="single" w:sz="8" w:space="0" w:color="F6D260" w:themeColor="accent2" w:themeTint="BF"/>
          <w:right w:val="single" w:sz="8" w:space="0" w:color="F6D26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F0CA" w:themeFill="accent2" w:themeFillTint="3F"/>
      </w:tcPr>
    </w:tblStylePr>
    <w:tblStylePr w:type="band1Horz">
      <w:tblPr/>
      <w:tcPr>
        <w:tcBorders>
          <w:insideH w:val="nil"/>
          <w:insideV w:val="nil"/>
        </w:tcBorders>
        <w:shd w:val="clear" w:color="auto" w:fill="FCF0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Ind w:w="0" w:type="dxa"/>
      <w:tblBorders>
        <w:top w:val="single" w:sz="8" w:space="0" w:color="2CE4CF" w:themeColor="accent3" w:themeTint="BF"/>
        <w:left w:val="single" w:sz="8" w:space="0" w:color="2CE4CF" w:themeColor="accent3" w:themeTint="BF"/>
        <w:bottom w:val="single" w:sz="8" w:space="0" w:color="2CE4CF" w:themeColor="accent3" w:themeTint="BF"/>
        <w:right w:val="single" w:sz="8" w:space="0" w:color="2CE4CF" w:themeColor="accent3" w:themeTint="BF"/>
        <w:insideH w:val="single" w:sz="8" w:space="0" w:color="2CE4CF" w:themeColor="accent3"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2CE4CF" w:themeColor="accent3" w:themeTint="BF"/>
          <w:left w:val="single" w:sz="8" w:space="0" w:color="2CE4CF" w:themeColor="accent3" w:themeTint="BF"/>
          <w:bottom w:val="single" w:sz="8" w:space="0" w:color="2CE4CF" w:themeColor="accent3" w:themeTint="BF"/>
          <w:right w:val="single" w:sz="8" w:space="0" w:color="2CE4CF" w:themeColor="accent3" w:themeTint="BF"/>
          <w:insideH w:val="nil"/>
          <w:insideV w:val="nil"/>
        </w:tcBorders>
        <w:shd w:val="clear" w:color="auto" w:fill="16AB9B" w:themeFill="accent3"/>
      </w:tcPr>
    </w:tblStylePr>
    <w:tblStylePr w:type="lastRow">
      <w:pPr>
        <w:spacing w:before="0" w:after="0" w:line="240" w:lineRule="auto"/>
      </w:pPr>
      <w:rPr>
        <w:b/>
        <w:bCs/>
      </w:rPr>
      <w:tblPr/>
      <w:tcPr>
        <w:tcBorders>
          <w:top w:val="double" w:sz="6" w:space="0" w:color="2CE4CF" w:themeColor="accent3" w:themeTint="BF"/>
          <w:left w:val="single" w:sz="8" w:space="0" w:color="2CE4CF" w:themeColor="accent3" w:themeTint="BF"/>
          <w:bottom w:val="single" w:sz="8" w:space="0" w:color="2CE4CF" w:themeColor="accent3" w:themeTint="BF"/>
          <w:right w:val="single" w:sz="8" w:space="0" w:color="2CE4C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9F6EF" w:themeFill="accent3" w:themeFillTint="3F"/>
      </w:tcPr>
    </w:tblStylePr>
    <w:tblStylePr w:type="band1Horz">
      <w:tblPr/>
      <w:tcPr>
        <w:tcBorders>
          <w:insideH w:val="nil"/>
          <w:insideV w:val="nil"/>
        </w:tcBorders>
        <w:shd w:val="clear" w:color="auto" w:fill="B9F6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Ind w:w="0" w:type="dxa"/>
      <w:tblBorders>
        <w:top w:val="single" w:sz="8" w:space="0" w:color="8B7DB0" w:themeColor="accent4" w:themeTint="BF"/>
        <w:left w:val="single" w:sz="8" w:space="0" w:color="8B7DB0" w:themeColor="accent4" w:themeTint="BF"/>
        <w:bottom w:val="single" w:sz="8" w:space="0" w:color="8B7DB0" w:themeColor="accent4" w:themeTint="BF"/>
        <w:right w:val="single" w:sz="8" w:space="0" w:color="8B7DB0" w:themeColor="accent4" w:themeTint="BF"/>
        <w:insideH w:val="single" w:sz="8" w:space="0" w:color="8B7DB0" w:themeColor="accent4"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B7DB0" w:themeColor="accent4" w:themeTint="BF"/>
          <w:left w:val="single" w:sz="8" w:space="0" w:color="8B7DB0" w:themeColor="accent4" w:themeTint="BF"/>
          <w:bottom w:val="single" w:sz="8" w:space="0" w:color="8B7DB0" w:themeColor="accent4" w:themeTint="BF"/>
          <w:right w:val="single" w:sz="8" w:space="0" w:color="8B7DB0" w:themeColor="accent4" w:themeTint="BF"/>
          <w:insideH w:val="nil"/>
          <w:insideV w:val="nil"/>
        </w:tcBorders>
        <w:shd w:val="clear" w:color="auto" w:fill="675890" w:themeFill="accent4"/>
      </w:tcPr>
    </w:tblStylePr>
    <w:tblStylePr w:type="lastRow">
      <w:pPr>
        <w:spacing w:before="0" w:after="0" w:line="240" w:lineRule="auto"/>
      </w:pPr>
      <w:rPr>
        <w:b/>
        <w:bCs/>
      </w:rPr>
      <w:tblPr/>
      <w:tcPr>
        <w:tcBorders>
          <w:top w:val="double" w:sz="6" w:space="0" w:color="8B7DB0" w:themeColor="accent4" w:themeTint="BF"/>
          <w:left w:val="single" w:sz="8" w:space="0" w:color="8B7DB0" w:themeColor="accent4" w:themeTint="BF"/>
          <w:bottom w:val="single" w:sz="8" w:space="0" w:color="8B7DB0" w:themeColor="accent4" w:themeTint="BF"/>
          <w:right w:val="single" w:sz="8" w:space="0" w:color="8B7DB0"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D4E4" w:themeFill="accent4" w:themeFillTint="3F"/>
      </w:tcPr>
    </w:tblStylePr>
    <w:tblStylePr w:type="band1Horz">
      <w:tblPr/>
      <w:tcPr>
        <w:tcBorders>
          <w:insideH w:val="nil"/>
          <w:insideV w:val="nil"/>
        </w:tcBorders>
        <w:shd w:val="clear" w:color="auto" w:fill="D8D4E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Ind w:w="0" w:type="dxa"/>
      <w:tblBorders>
        <w:top w:val="single" w:sz="8" w:space="0" w:color="B59888" w:themeColor="accent5" w:themeTint="BF"/>
        <w:left w:val="single" w:sz="8" w:space="0" w:color="B59888" w:themeColor="accent5" w:themeTint="BF"/>
        <w:bottom w:val="single" w:sz="8" w:space="0" w:color="B59888" w:themeColor="accent5" w:themeTint="BF"/>
        <w:right w:val="single" w:sz="8" w:space="0" w:color="B59888" w:themeColor="accent5" w:themeTint="BF"/>
        <w:insideH w:val="single" w:sz="8" w:space="0" w:color="B59888" w:themeColor="accent5"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59888" w:themeColor="accent5" w:themeTint="BF"/>
          <w:left w:val="single" w:sz="8" w:space="0" w:color="B59888" w:themeColor="accent5" w:themeTint="BF"/>
          <w:bottom w:val="single" w:sz="8" w:space="0" w:color="B59888" w:themeColor="accent5" w:themeTint="BF"/>
          <w:right w:val="single" w:sz="8" w:space="0" w:color="B59888" w:themeColor="accent5" w:themeTint="BF"/>
          <w:insideH w:val="nil"/>
          <w:insideV w:val="nil"/>
        </w:tcBorders>
        <w:shd w:val="clear" w:color="auto" w:fill="9C7761" w:themeFill="accent5"/>
      </w:tcPr>
    </w:tblStylePr>
    <w:tblStylePr w:type="lastRow">
      <w:pPr>
        <w:spacing w:before="0" w:after="0" w:line="240" w:lineRule="auto"/>
      </w:pPr>
      <w:rPr>
        <w:b/>
        <w:bCs/>
      </w:rPr>
      <w:tblPr/>
      <w:tcPr>
        <w:tcBorders>
          <w:top w:val="double" w:sz="6" w:space="0" w:color="B59888" w:themeColor="accent5" w:themeTint="BF"/>
          <w:left w:val="single" w:sz="8" w:space="0" w:color="B59888" w:themeColor="accent5" w:themeTint="BF"/>
          <w:bottom w:val="single" w:sz="8" w:space="0" w:color="B59888" w:themeColor="accent5" w:themeTint="BF"/>
          <w:right w:val="single" w:sz="8" w:space="0" w:color="B5988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DD7" w:themeFill="accent5" w:themeFillTint="3F"/>
      </w:tcPr>
    </w:tblStylePr>
    <w:tblStylePr w:type="band1Horz">
      <w:tblPr/>
      <w:tcPr>
        <w:tcBorders>
          <w:insideH w:val="nil"/>
          <w:insideV w:val="nil"/>
        </w:tcBorders>
        <w:shd w:val="clear" w:color="auto" w:fill="E6DD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Ind w:w="0" w:type="dxa"/>
      <w:tblBorders>
        <w:top w:val="single" w:sz="8" w:space="0" w:color="E8265A" w:themeColor="accent6" w:themeTint="BF"/>
        <w:left w:val="single" w:sz="8" w:space="0" w:color="E8265A" w:themeColor="accent6" w:themeTint="BF"/>
        <w:bottom w:val="single" w:sz="8" w:space="0" w:color="E8265A" w:themeColor="accent6" w:themeTint="BF"/>
        <w:right w:val="single" w:sz="8" w:space="0" w:color="E8265A" w:themeColor="accent6" w:themeTint="BF"/>
        <w:insideH w:val="single" w:sz="8" w:space="0" w:color="E8265A" w:themeColor="accent6"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8265A" w:themeColor="accent6" w:themeTint="BF"/>
          <w:left w:val="single" w:sz="8" w:space="0" w:color="E8265A" w:themeColor="accent6" w:themeTint="BF"/>
          <w:bottom w:val="single" w:sz="8" w:space="0" w:color="E8265A" w:themeColor="accent6" w:themeTint="BF"/>
          <w:right w:val="single" w:sz="8" w:space="0" w:color="E8265A" w:themeColor="accent6" w:themeTint="BF"/>
          <w:insideH w:val="nil"/>
          <w:insideV w:val="nil"/>
        </w:tcBorders>
        <w:shd w:val="clear" w:color="auto" w:fill="AD123C" w:themeFill="accent6"/>
      </w:tcPr>
    </w:tblStylePr>
    <w:tblStylePr w:type="lastRow">
      <w:pPr>
        <w:spacing w:before="0" w:after="0" w:line="240" w:lineRule="auto"/>
      </w:pPr>
      <w:rPr>
        <w:b/>
        <w:bCs/>
      </w:rPr>
      <w:tblPr/>
      <w:tcPr>
        <w:tcBorders>
          <w:top w:val="double" w:sz="6" w:space="0" w:color="E8265A" w:themeColor="accent6" w:themeTint="BF"/>
          <w:left w:val="single" w:sz="8" w:space="0" w:color="E8265A" w:themeColor="accent6" w:themeTint="BF"/>
          <w:bottom w:val="single" w:sz="8" w:space="0" w:color="E8265A" w:themeColor="accent6" w:themeTint="BF"/>
          <w:right w:val="single" w:sz="8" w:space="0" w:color="E826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B7C8" w:themeFill="accent6" w:themeFillTint="3F"/>
      </w:tcPr>
    </w:tblStylePr>
    <w:tblStylePr w:type="band1Horz">
      <w:tblPr/>
      <w:tcPr>
        <w:tcBorders>
          <w:insideH w:val="nil"/>
          <w:insideV w:val="nil"/>
        </w:tcBorders>
        <w:shd w:val="clear" w:color="auto" w:fill="F7B7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5D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5D4" w:themeFill="accent1"/>
      </w:tcPr>
    </w:tblStylePr>
    <w:tblStylePr w:type="lastCol">
      <w:rPr>
        <w:b/>
        <w:bCs/>
        <w:color w:val="FFFFFF" w:themeColor="background1"/>
      </w:rPr>
      <w:tblPr/>
      <w:tcPr>
        <w:tcBorders>
          <w:left w:val="nil"/>
          <w:right w:val="nil"/>
          <w:insideH w:val="nil"/>
          <w:insideV w:val="nil"/>
        </w:tcBorders>
        <w:shd w:val="clear" w:color="auto" w:fill="00A5D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3C42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C42C" w:themeFill="accent2"/>
      </w:tcPr>
    </w:tblStylePr>
    <w:tblStylePr w:type="lastCol">
      <w:rPr>
        <w:b/>
        <w:bCs/>
        <w:color w:val="FFFFFF" w:themeColor="background1"/>
      </w:rPr>
      <w:tblPr/>
      <w:tcPr>
        <w:tcBorders>
          <w:left w:val="nil"/>
          <w:right w:val="nil"/>
          <w:insideH w:val="nil"/>
          <w:insideV w:val="nil"/>
        </w:tcBorders>
        <w:shd w:val="clear" w:color="auto" w:fill="F3C42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6AB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AB9B" w:themeFill="accent3"/>
      </w:tcPr>
    </w:tblStylePr>
    <w:tblStylePr w:type="lastCol">
      <w:rPr>
        <w:b/>
        <w:bCs/>
        <w:color w:val="FFFFFF" w:themeColor="background1"/>
      </w:rPr>
      <w:tblPr/>
      <w:tcPr>
        <w:tcBorders>
          <w:left w:val="nil"/>
          <w:right w:val="nil"/>
          <w:insideH w:val="nil"/>
          <w:insideV w:val="nil"/>
        </w:tcBorders>
        <w:shd w:val="clear" w:color="auto" w:fill="16AB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758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890" w:themeFill="accent4"/>
      </w:tcPr>
    </w:tblStylePr>
    <w:tblStylePr w:type="lastCol">
      <w:rPr>
        <w:b/>
        <w:bCs/>
        <w:color w:val="FFFFFF" w:themeColor="background1"/>
      </w:rPr>
      <w:tblPr/>
      <w:tcPr>
        <w:tcBorders>
          <w:left w:val="nil"/>
          <w:right w:val="nil"/>
          <w:insideH w:val="nil"/>
          <w:insideV w:val="nil"/>
        </w:tcBorders>
        <w:shd w:val="clear" w:color="auto" w:fill="6758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C776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7761" w:themeFill="accent5"/>
      </w:tcPr>
    </w:tblStylePr>
    <w:tblStylePr w:type="lastCol">
      <w:rPr>
        <w:b/>
        <w:bCs/>
        <w:color w:val="FFFFFF" w:themeColor="background1"/>
      </w:rPr>
      <w:tblPr/>
      <w:tcPr>
        <w:tcBorders>
          <w:left w:val="nil"/>
          <w:right w:val="nil"/>
          <w:insideH w:val="nil"/>
          <w:insideV w:val="nil"/>
        </w:tcBorders>
        <w:shd w:val="clear" w:color="auto" w:fill="9C776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D12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123C" w:themeFill="accent6"/>
      </w:tcPr>
    </w:tblStylePr>
    <w:tblStylePr w:type="lastCol">
      <w:rPr>
        <w:b/>
        <w:bCs/>
        <w:color w:val="FFFFFF" w:themeColor="background1"/>
      </w:rPr>
      <w:tblPr/>
      <w:tcPr>
        <w:tcBorders>
          <w:left w:val="nil"/>
          <w:right w:val="nil"/>
          <w:insideH w:val="nil"/>
          <w:insideV w:val="nil"/>
        </w:tcBorders>
        <w:shd w:val="clear" w:color="auto" w:fill="AD12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C6330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C63303"/>
    <w:rPr>
      <w:rFonts w:asciiTheme="minorHAnsi" w:eastAsiaTheme="majorEastAsia" w:hAnsiTheme="minorHAnsi" w:cstheme="minorHAnsi"/>
      <w:kern w:val="20"/>
      <w:sz w:val="24"/>
      <w:szCs w:val="24"/>
      <w:shd w:val="pct20" w:color="auto" w:fill="auto"/>
      <w:lang w:val="en-AU" w:eastAsia="zh-CN"/>
    </w:rPr>
  </w:style>
  <w:style w:type="paragraph" w:styleId="NoSpacing">
    <w:name w:val="No Spacing"/>
    <w:uiPriority w:val="97"/>
    <w:semiHidden/>
    <w:qFormat/>
    <w:rsid w:val="00C63303"/>
    <w:pPr>
      <w:adjustRightInd w:val="0"/>
      <w:snapToGrid w:val="0"/>
    </w:pPr>
    <w:rPr>
      <w:rFonts w:asciiTheme="minorHAnsi" w:hAnsiTheme="minorHAnsi" w:cstheme="minorHAnsi"/>
      <w:kern w:val="20"/>
      <w:szCs w:val="24"/>
      <w:lang w:val="en-AU" w:eastAsia="zh-CN"/>
    </w:rPr>
  </w:style>
  <w:style w:type="paragraph" w:styleId="NormalWeb">
    <w:name w:val="Normal (Web)"/>
    <w:basedOn w:val="Normal"/>
    <w:uiPriority w:val="97"/>
    <w:semiHidden/>
    <w:rsid w:val="00C63303"/>
    <w:rPr>
      <w:sz w:val="24"/>
    </w:rPr>
  </w:style>
  <w:style w:type="paragraph" w:styleId="NormalIndent">
    <w:name w:val="Normal Indent"/>
    <w:basedOn w:val="Normal"/>
    <w:uiPriority w:val="97"/>
    <w:semiHidden/>
    <w:rsid w:val="00C63303"/>
    <w:pPr>
      <w:ind w:left="720"/>
    </w:pPr>
  </w:style>
  <w:style w:type="paragraph" w:styleId="NoteHeading">
    <w:name w:val="Note Heading"/>
    <w:basedOn w:val="Normal"/>
    <w:next w:val="Normal"/>
    <w:link w:val="NoteHeadingChar"/>
    <w:uiPriority w:val="97"/>
    <w:semiHidden/>
    <w:rsid w:val="00C63303"/>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C63303"/>
    <w:rPr>
      <w:rFonts w:asciiTheme="majorHAnsi" w:hAnsiTheme="majorHAnsi" w:cstheme="majorHAnsi"/>
      <w:kern w:val="20"/>
      <w:szCs w:val="24"/>
      <w:lang w:val="en-AU" w:eastAsia="zh-CN"/>
    </w:rPr>
  </w:style>
  <w:style w:type="character" w:styleId="PlaceholderText">
    <w:name w:val="Placeholder Text"/>
    <w:basedOn w:val="DefaultParagraphFont"/>
    <w:uiPriority w:val="11"/>
    <w:semiHidden/>
    <w:rsid w:val="00C63303"/>
    <w:rPr>
      <w:rFonts w:asciiTheme="minorHAnsi" w:hAnsiTheme="minorHAnsi" w:cstheme="minorHAnsi"/>
      <w:color w:val="808080"/>
    </w:rPr>
  </w:style>
  <w:style w:type="paragraph" w:styleId="PlainText">
    <w:name w:val="Plain Text"/>
    <w:basedOn w:val="Normal"/>
    <w:link w:val="PlainTextChar"/>
    <w:uiPriority w:val="97"/>
    <w:semiHidden/>
    <w:rsid w:val="00C63303"/>
    <w:pPr>
      <w:spacing w:after="0" w:line="240" w:lineRule="auto"/>
    </w:pPr>
    <w:rPr>
      <w:sz w:val="21"/>
      <w:szCs w:val="21"/>
    </w:rPr>
  </w:style>
  <w:style w:type="character" w:customStyle="1" w:styleId="PlainTextChar">
    <w:name w:val="Plain Text Char"/>
    <w:basedOn w:val="DefaultParagraphFont"/>
    <w:link w:val="PlainText"/>
    <w:rsid w:val="00C63303"/>
    <w:rPr>
      <w:rFonts w:asciiTheme="minorHAnsi" w:hAnsiTheme="minorHAnsi" w:cstheme="minorHAnsi"/>
      <w:kern w:val="20"/>
      <w:sz w:val="21"/>
      <w:szCs w:val="21"/>
      <w:lang w:val="en-AU" w:eastAsia="zh-CN"/>
    </w:rPr>
  </w:style>
  <w:style w:type="paragraph" w:styleId="Quote">
    <w:name w:val="Quote"/>
    <w:basedOn w:val="Normal"/>
    <w:next w:val="Normal"/>
    <w:link w:val="QuoteChar"/>
    <w:uiPriority w:val="97"/>
    <w:semiHidden/>
    <w:rsid w:val="002752E0"/>
    <w:pPr>
      <w:pBdr>
        <w:top w:val="dotted" w:sz="12" w:space="15" w:color="15397F" w:themeColor="background2"/>
        <w:bottom w:val="dotted" w:sz="12" w:space="15" w:color="15397F" w:themeColor="background2"/>
      </w:pBdr>
      <w:spacing w:line="440" w:lineRule="atLeast"/>
    </w:pPr>
    <w:rPr>
      <w:b/>
      <w:iCs/>
      <w:color w:val="15397F" w:themeColor="background2"/>
      <w:sz w:val="32"/>
    </w:rPr>
  </w:style>
  <w:style w:type="character" w:customStyle="1" w:styleId="QuoteChar">
    <w:name w:val="Quote Char"/>
    <w:basedOn w:val="DefaultParagraphFont"/>
    <w:link w:val="Quote"/>
    <w:uiPriority w:val="97"/>
    <w:semiHidden/>
    <w:rsid w:val="00453506"/>
    <w:rPr>
      <w:rFonts w:asciiTheme="minorHAnsi" w:eastAsia="MS Mincho" w:hAnsiTheme="minorHAnsi"/>
      <w:b/>
      <w:iCs/>
      <w:color w:val="15397F" w:themeColor="background2"/>
      <w:sz w:val="32"/>
      <w:lang w:val="en-AU" w:eastAsia="ja-JP"/>
    </w:rPr>
  </w:style>
  <w:style w:type="paragraph" w:styleId="Salutation">
    <w:name w:val="Salutation"/>
    <w:basedOn w:val="Normal"/>
    <w:next w:val="Normal"/>
    <w:link w:val="SalutationChar"/>
    <w:uiPriority w:val="97"/>
    <w:semiHidden/>
    <w:rsid w:val="00C63303"/>
  </w:style>
  <w:style w:type="character" w:customStyle="1" w:styleId="SalutationChar">
    <w:name w:val="Salutation Char"/>
    <w:basedOn w:val="DefaultParagraphFont"/>
    <w:link w:val="Salutation"/>
    <w:rsid w:val="00C63303"/>
    <w:rPr>
      <w:rFonts w:asciiTheme="minorHAnsi" w:hAnsiTheme="minorHAnsi" w:cstheme="minorHAnsi"/>
      <w:kern w:val="20"/>
      <w:szCs w:val="24"/>
      <w:lang w:val="en-AU" w:eastAsia="zh-CN"/>
    </w:rPr>
  </w:style>
  <w:style w:type="paragraph" w:styleId="Signature">
    <w:name w:val="Signature"/>
    <w:basedOn w:val="Normal"/>
    <w:link w:val="SignatureChar"/>
    <w:uiPriority w:val="97"/>
    <w:semiHidden/>
    <w:rsid w:val="00C63303"/>
    <w:pPr>
      <w:spacing w:after="0" w:line="240" w:lineRule="auto"/>
      <w:ind w:left="4252"/>
    </w:pPr>
  </w:style>
  <w:style w:type="character" w:customStyle="1" w:styleId="SignatureChar">
    <w:name w:val="Signature Char"/>
    <w:basedOn w:val="DefaultParagraphFont"/>
    <w:link w:val="Signature"/>
    <w:rsid w:val="00C63303"/>
    <w:rPr>
      <w:rFonts w:asciiTheme="minorHAnsi" w:hAnsiTheme="minorHAnsi" w:cstheme="minorHAnsi"/>
      <w:kern w:val="20"/>
      <w:szCs w:val="24"/>
      <w:lang w:val="en-AU" w:eastAsia="zh-CN"/>
    </w:rPr>
  </w:style>
  <w:style w:type="character" w:styleId="Strong">
    <w:name w:val="Strong"/>
    <w:basedOn w:val="DefaultParagraphFont"/>
    <w:uiPriority w:val="97"/>
    <w:semiHidden/>
    <w:rsid w:val="00C63303"/>
    <w:rPr>
      <w:rFonts w:asciiTheme="minorHAnsi" w:hAnsiTheme="minorHAnsi" w:cstheme="minorHAnsi"/>
      <w:b/>
      <w:bCs/>
    </w:rPr>
  </w:style>
  <w:style w:type="paragraph" w:styleId="Subtitle">
    <w:name w:val="Subtitle"/>
    <w:basedOn w:val="Normal"/>
    <w:next w:val="Normal"/>
    <w:link w:val="SubtitleChar"/>
    <w:uiPriority w:val="97"/>
    <w:semiHidden/>
    <w:rsid w:val="00C63303"/>
    <w:pPr>
      <w:numPr>
        <w:ilvl w:val="1"/>
      </w:numPr>
    </w:pPr>
    <w:rPr>
      <w:rFonts w:eastAsiaTheme="majorEastAsia"/>
      <w:i/>
      <w:iCs/>
      <w:color w:val="00A5D4" w:themeColor="accent1"/>
      <w:spacing w:val="15"/>
      <w:sz w:val="24"/>
    </w:rPr>
  </w:style>
  <w:style w:type="character" w:customStyle="1" w:styleId="SubtitleChar">
    <w:name w:val="Subtitle Char"/>
    <w:basedOn w:val="DefaultParagraphFont"/>
    <w:link w:val="Subtitle"/>
    <w:rsid w:val="00C63303"/>
    <w:rPr>
      <w:rFonts w:asciiTheme="minorHAnsi" w:eastAsiaTheme="majorEastAsia" w:hAnsiTheme="minorHAnsi" w:cstheme="minorHAnsi"/>
      <w:i/>
      <w:iCs/>
      <w:color w:val="00A5D4" w:themeColor="accent1"/>
      <w:spacing w:val="15"/>
      <w:kern w:val="20"/>
      <w:sz w:val="24"/>
      <w:szCs w:val="24"/>
      <w:lang w:val="en-AU" w:eastAsia="zh-CN"/>
    </w:rPr>
  </w:style>
  <w:style w:type="character" w:styleId="SubtleEmphasis">
    <w:name w:val="Subtle Emphasis"/>
    <w:basedOn w:val="DefaultParagraphFont"/>
    <w:uiPriority w:val="97"/>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C63303"/>
    <w:rPr>
      <w:rFonts w:asciiTheme="minorHAnsi" w:hAnsiTheme="minorHAnsi" w:cstheme="minorHAnsi"/>
      <w:smallCaps/>
      <w:color w:val="F3C42C"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blInd w:w="0" w:type="dxa"/>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Ind w:w="0" w:type="dxa"/>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Ind w:w="0" w:type="dxa"/>
      <w:tblBorders>
        <w:bottom w:val="single" w:sz="12" w:space="0" w:color="808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C63303"/>
    <w:pPr>
      <w:spacing w:after="0"/>
      <w:ind w:left="200" w:hanging="200"/>
    </w:pPr>
  </w:style>
  <w:style w:type="paragraph" w:styleId="TableofFigures">
    <w:name w:val="table of figures"/>
    <w:basedOn w:val="Normal"/>
    <w:next w:val="Normal"/>
    <w:uiPriority w:val="97"/>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C63303"/>
    <w:pPr>
      <w:pBdr>
        <w:bottom w:val="single" w:sz="8" w:space="4" w:color="00A5D4" w:themeColor="accent1"/>
      </w:pBdr>
      <w:spacing w:after="300" w:line="240" w:lineRule="auto"/>
      <w:contextualSpacing/>
    </w:pPr>
    <w:rPr>
      <w:rFonts w:eastAsiaTheme="majorEastAsia"/>
      <w:color w:val="201F1E" w:themeColor="text2" w:themeShade="BF"/>
      <w:spacing w:val="5"/>
      <w:kern w:val="28"/>
      <w:sz w:val="52"/>
      <w:szCs w:val="52"/>
    </w:rPr>
  </w:style>
  <w:style w:type="character" w:customStyle="1" w:styleId="TitleChar">
    <w:name w:val="Title Char"/>
    <w:basedOn w:val="DefaultParagraphFont"/>
    <w:link w:val="Title"/>
    <w:rsid w:val="00C63303"/>
    <w:rPr>
      <w:rFonts w:asciiTheme="minorHAnsi" w:eastAsiaTheme="majorEastAsia" w:hAnsiTheme="minorHAnsi" w:cstheme="minorHAnsi"/>
      <w:color w:val="201F1E" w:themeColor="text2" w:themeShade="BF"/>
      <w:spacing w:val="5"/>
      <w:kern w:val="28"/>
      <w:sz w:val="52"/>
      <w:szCs w:val="52"/>
      <w:lang w:val="en-AU" w:eastAsia="zh-CN"/>
    </w:rPr>
  </w:style>
  <w:style w:type="paragraph" w:styleId="TOAHeading">
    <w:name w:val="toa heading"/>
    <w:basedOn w:val="Normal"/>
    <w:next w:val="Normal"/>
    <w:uiPriority w:val="97"/>
    <w:semiHidden/>
    <w:rsid w:val="00C63303"/>
    <w:pPr>
      <w:spacing w:before="120"/>
    </w:pPr>
    <w:rPr>
      <w:rFonts w:asciiTheme="majorHAnsi" w:eastAsiaTheme="majorEastAsia" w:hAnsiTheme="majorHAnsi" w:cstheme="majorHAnsi"/>
      <w:b/>
      <w:bCs/>
      <w:sz w:val="24"/>
    </w:rPr>
  </w:style>
  <w:style w:type="paragraph" w:styleId="TOC4">
    <w:name w:val="toc 4"/>
    <w:basedOn w:val="Normal"/>
    <w:next w:val="Normal"/>
    <w:autoRedefine/>
    <w:uiPriority w:val="11"/>
    <w:semiHidden/>
    <w:rsid w:val="00C63303"/>
    <w:pPr>
      <w:spacing w:after="100"/>
      <w:ind w:left="600"/>
    </w:pPr>
  </w:style>
  <w:style w:type="paragraph" w:styleId="TOC5">
    <w:name w:val="toc 5"/>
    <w:basedOn w:val="Normal"/>
    <w:next w:val="Normal"/>
    <w:autoRedefine/>
    <w:uiPriority w:val="97"/>
    <w:semiHidden/>
    <w:rsid w:val="00C63303"/>
    <w:pPr>
      <w:spacing w:after="100"/>
      <w:ind w:left="800"/>
    </w:pPr>
  </w:style>
  <w:style w:type="paragraph" w:styleId="TOC6">
    <w:name w:val="toc 6"/>
    <w:basedOn w:val="Normal"/>
    <w:next w:val="Normal"/>
    <w:autoRedefine/>
    <w:uiPriority w:val="97"/>
    <w:semiHidden/>
    <w:rsid w:val="00C63303"/>
    <w:pPr>
      <w:spacing w:after="100"/>
      <w:ind w:left="1000"/>
    </w:pPr>
  </w:style>
  <w:style w:type="paragraph" w:styleId="TOC7">
    <w:name w:val="toc 7"/>
    <w:basedOn w:val="Normal"/>
    <w:next w:val="Normal"/>
    <w:autoRedefine/>
    <w:uiPriority w:val="97"/>
    <w:semiHidden/>
    <w:rsid w:val="00C63303"/>
    <w:pPr>
      <w:spacing w:after="100"/>
      <w:ind w:left="1200"/>
    </w:pPr>
  </w:style>
  <w:style w:type="paragraph" w:styleId="TOC8">
    <w:name w:val="toc 8"/>
    <w:basedOn w:val="Normal"/>
    <w:next w:val="Normal"/>
    <w:autoRedefine/>
    <w:uiPriority w:val="97"/>
    <w:semiHidden/>
    <w:rsid w:val="00C63303"/>
    <w:pPr>
      <w:spacing w:after="100"/>
      <w:ind w:left="1400"/>
    </w:pPr>
  </w:style>
  <w:style w:type="paragraph" w:styleId="TOC9">
    <w:name w:val="toc 9"/>
    <w:basedOn w:val="Normal"/>
    <w:next w:val="Normal"/>
    <w:autoRedefine/>
    <w:uiPriority w:val="97"/>
    <w:semiHidden/>
    <w:rsid w:val="00C63303"/>
    <w:pPr>
      <w:spacing w:after="100"/>
      <w:ind w:left="1600"/>
    </w:pPr>
  </w:style>
  <w:style w:type="paragraph" w:styleId="TOCHeading">
    <w:name w:val="TOC Heading"/>
    <w:basedOn w:val="Headline"/>
    <w:next w:val="Normal"/>
    <w:uiPriority w:val="97"/>
    <w:rsid w:val="008A0B9B"/>
    <w:pPr>
      <w:framePr w:h="1418" w:hRule="exact" w:wrap="around"/>
      <w:pBdr>
        <w:top w:val="none" w:sz="0" w:space="0" w:color="auto"/>
        <w:bottom w:val="none" w:sz="0" w:space="0" w:color="auto"/>
      </w:pBdr>
    </w:pPr>
    <w:rPr>
      <w:rFonts w:asciiTheme="majorHAnsi" w:hAnsiTheme="majorHAnsi"/>
      <w:b/>
      <w:caps w:val="0"/>
      <w:color w:val="15397F" w:themeColor="background2"/>
    </w:rPr>
  </w:style>
  <w:style w:type="table" w:customStyle="1" w:styleId="LayoutGrid">
    <w:name w:val="Layout Grid"/>
    <w:basedOn w:val="TableNormal"/>
    <w:uiPriority w:val="99"/>
    <w:rsid w:val="00EE3284"/>
    <w:rPr>
      <w:rFonts w:asciiTheme="minorHAnsi" w:hAnsiTheme="minorHAnsi"/>
    </w:rPr>
    <w:tblPr>
      <w:tblInd w:w="0" w:type="dxa"/>
      <w:tblCellMar>
        <w:top w:w="0" w:type="dxa"/>
        <w:left w:w="0" w:type="dxa"/>
        <w:bottom w:w="0" w:type="dxa"/>
        <w:right w:w="0" w:type="dxa"/>
      </w:tblCellMar>
    </w:tblPr>
  </w:style>
  <w:style w:type="character" w:customStyle="1" w:styleId="HeaderChar">
    <w:name w:val="Header Char"/>
    <w:basedOn w:val="DefaultParagraphFont"/>
    <w:link w:val="Header"/>
    <w:uiPriority w:val="99"/>
    <w:rsid w:val="008E6B3E"/>
    <w:rPr>
      <w:rFonts w:asciiTheme="minorHAnsi" w:eastAsia="MS Mincho" w:hAnsiTheme="minorHAnsi"/>
      <w:caps/>
      <w:color w:val="2C2A29" w:themeColor="text2"/>
      <w:kern w:val="60"/>
      <w:sz w:val="13"/>
      <w:lang w:val="en-AU" w:eastAsia="ja-JP"/>
    </w:rPr>
  </w:style>
  <w:style w:type="paragraph" w:customStyle="1" w:styleId="SectionHeading">
    <w:name w:val="Section Heading"/>
    <w:basedOn w:val="Normal"/>
    <w:next w:val="Normal"/>
    <w:qFormat/>
    <w:rsid w:val="003970BC"/>
    <w:pPr>
      <w:framePr w:w="10206" w:h="1452" w:hRule="exact" w:vSpace="284" w:wrap="around" w:vAnchor="text" w:hAnchor="text" w:y="1" w:anchorLock="1"/>
      <w:spacing w:after="0" w:line="240" w:lineRule="auto"/>
      <w:contextualSpacing/>
    </w:pPr>
    <w:rPr>
      <w:rFonts w:asciiTheme="majorHAnsi" w:hAnsiTheme="majorHAnsi"/>
      <w:b/>
      <w:color w:val="15397F" w:themeColor="background2"/>
      <w:sz w:val="48"/>
    </w:rPr>
  </w:style>
  <w:style w:type="paragraph" w:customStyle="1" w:styleId="Headline">
    <w:name w:val="Headline"/>
    <w:basedOn w:val="Normal"/>
    <w:next w:val="Normal"/>
    <w:semiHidden/>
    <w:qFormat/>
    <w:rsid w:val="008112BE"/>
    <w:pPr>
      <w:framePr w:w="10206" w:h="1758" w:hRule="exact" w:vSpace="284" w:wrap="around" w:vAnchor="text" w:hAnchor="text" w:y="1"/>
      <w:pBdr>
        <w:top w:val="dotted" w:sz="12" w:space="15" w:color="2C2A29" w:themeColor="text2"/>
        <w:bottom w:val="dotted" w:sz="12" w:space="0" w:color="2C2A29" w:themeColor="text2"/>
      </w:pBdr>
      <w:spacing w:after="0" w:line="240" w:lineRule="auto"/>
    </w:pPr>
    <w:rPr>
      <w:caps/>
      <w:sz w:val="50"/>
    </w:rPr>
  </w:style>
  <w:style w:type="paragraph" w:styleId="TOC2">
    <w:name w:val="toc 2"/>
    <w:basedOn w:val="Normal"/>
    <w:next w:val="Normal"/>
    <w:uiPriority w:val="39"/>
    <w:unhideWhenUsed/>
    <w:rsid w:val="00674D57"/>
    <w:pPr>
      <w:tabs>
        <w:tab w:val="right" w:pos="4820"/>
      </w:tabs>
      <w:ind w:left="340" w:right="1134"/>
    </w:pPr>
  </w:style>
  <w:style w:type="paragraph" w:customStyle="1" w:styleId="HeaderTitle">
    <w:name w:val="Header Title"/>
    <w:basedOn w:val="Header"/>
    <w:qFormat/>
    <w:rsid w:val="009774F9"/>
    <w:rPr>
      <w:b/>
      <w:caps w:val="0"/>
      <w:sz w:val="24"/>
    </w:rPr>
  </w:style>
  <w:style w:type="numbering" w:customStyle="1" w:styleId="ListBullets">
    <w:name w:val="ListBullets"/>
    <w:uiPriority w:val="99"/>
    <w:rsid w:val="0001409F"/>
    <w:pPr>
      <w:numPr>
        <w:numId w:val="12"/>
      </w:numPr>
    </w:pPr>
  </w:style>
  <w:style w:type="paragraph" w:customStyle="1" w:styleId="Heading1-Numbered">
    <w:name w:val="Heading 1 - Numbered"/>
    <w:basedOn w:val="Heading1"/>
    <w:next w:val="Normal"/>
    <w:qFormat/>
    <w:rsid w:val="00E1457C"/>
    <w:pPr>
      <w:numPr>
        <w:numId w:val="15"/>
      </w:numPr>
      <w:tabs>
        <w:tab w:val="clear" w:pos="1077"/>
      </w:tabs>
    </w:pPr>
  </w:style>
  <w:style w:type="paragraph" w:customStyle="1" w:styleId="Heading2-Numbered">
    <w:name w:val="Heading 2 - Numbered"/>
    <w:basedOn w:val="Heading2"/>
    <w:next w:val="Normal"/>
    <w:qFormat/>
    <w:rsid w:val="00E1457C"/>
    <w:pPr>
      <w:numPr>
        <w:ilvl w:val="1"/>
        <w:numId w:val="15"/>
      </w:numPr>
    </w:pPr>
  </w:style>
  <w:style w:type="paragraph" w:customStyle="1" w:styleId="Heading3-Numbered">
    <w:name w:val="Heading 3 - Numbered"/>
    <w:basedOn w:val="Heading3"/>
    <w:next w:val="Normal"/>
    <w:qFormat/>
    <w:rsid w:val="00E1457C"/>
    <w:pPr>
      <w:numPr>
        <w:ilvl w:val="2"/>
        <w:numId w:val="15"/>
      </w:numPr>
    </w:pPr>
  </w:style>
  <w:style w:type="numbering" w:customStyle="1" w:styleId="NubmeredHeadings">
    <w:name w:val="Nubmered Headings"/>
    <w:uiPriority w:val="99"/>
    <w:rsid w:val="00E1457C"/>
    <w:pPr>
      <w:numPr>
        <w:numId w:val="14"/>
      </w:numPr>
    </w:pPr>
  </w:style>
  <w:style w:type="paragraph" w:customStyle="1" w:styleId="TableColumn">
    <w:name w:val="Table Column"/>
    <w:basedOn w:val="TableText"/>
    <w:qFormat/>
    <w:rsid w:val="002F792A"/>
    <w:rPr>
      <w:b/>
    </w:rPr>
  </w:style>
  <w:style w:type="table" w:customStyle="1" w:styleId="PlaceholderGrid">
    <w:name w:val="Placeholder Grid"/>
    <w:basedOn w:val="TableNormal"/>
    <w:uiPriority w:val="99"/>
    <w:rsid w:val="00630F96"/>
    <w:tblPr>
      <w:tblInd w:w="227" w:type="dxa"/>
      <w:tblCellMar>
        <w:top w:w="227" w:type="dxa"/>
        <w:left w:w="227" w:type="dxa"/>
        <w:bottom w:w="57" w:type="dxa"/>
        <w:right w:w="227" w:type="dxa"/>
      </w:tblCellMar>
    </w:tblPr>
    <w:tcPr>
      <w:shd w:val="clear" w:color="auto" w:fill="E6E6E6"/>
    </w:tcPr>
  </w:style>
  <w:style w:type="paragraph" w:customStyle="1" w:styleId="PullOutText">
    <w:name w:val="PullOut Text"/>
    <w:basedOn w:val="Normal"/>
    <w:qFormat/>
    <w:rsid w:val="00835336"/>
    <w:pPr>
      <w:framePr w:hSpace="181" w:vSpace="170" w:wrap="around" w:vAnchor="text" w:hAnchor="page" w:x="852" w:y="-56"/>
      <w:suppressOverlap/>
    </w:pPr>
    <w:rPr>
      <w:noProof/>
    </w:rPr>
  </w:style>
  <w:style w:type="paragraph" w:customStyle="1" w:styleId="PullOutHeading">
    <w:name w:val="PullOut Heading"/>
    <w:basedOn w:val="PullOutText"/>
    <w:next w:val="PullOutText"/>
    <w:qFormat/>
    <w:rsid w:val="008A0B9B"/>
    <w:pPr>
      <w:framePr w:wrap="around"/>
      <w:spacing w:after="120"/>
    </w:pPr>
    <w:rPr>
      <w:rFonts w:asciiTheme="majorHAnsi" w:hAnsiTheme="majorHAnsi"/>
      <w:b/>
      <w:sz w:val="28"/>
    </w:rPr>
  </w:style>
  <w:style w:type="paragraph" w:customStyle="1" w:styleId="PullOutNumber">
    <w:name w:val="PullOut Number"/>
    <w:basedOn w:val="PullOutText"/>
    <w:qFormat/>
    <w:rsid w:val="00835336"/>
    <w:pPr>
      <w:framePr w:wrap="around"/>
      <w:numPr>
        <w:numId w:val="20"/>
      </w:numPr>
    </w:pPr>
  </w:style>
  <w:style w:type="numbering" w:customStyle="1" w:styleId="PullOutList">
    <w:name w:val="PullOutList"/>
    <w:uiPriority w:val="99"/>
    <w:rsid w:val="00835336"/>
    <w:pPr>
      <w:numPr>
        <w:numId w:val="20"/>
      </w:numPr>
    </w:pPr>
  </w:style>
  <w:style w:type="paragraph" w:customStyle="1" w:styleId="Disclaimer">
    <w:name w:val="Disclaimer"/>
    <w:basedOn w:val="Normal"/>
    <w:qFormat/>
    <w:rsid w:val="002F792A"/>
    <w:pPr>
      <w:spacing w:line="180" w:lineRule="atLeast"/>
    </w:pPr>
    <w:rPr>
      <w:sz w:val="16"/>
    </w:rPr>
  </w:style>
  <w:style w:type="paragraph" w:customStyle="1" w:styleId="DisclaimerHeading">
    <w:name w:val="Disclaimer Heading"/>
    <w:basedOn w:val="Disclaimer"/>
    <w:next w:val="Disclaimer"/>
    <w:qFormat/>
    <w:rsid w:val="002F792A"/>
    <w:pPr>
      <w:framePr w:hSpace="181" w:vSpace="567" w:wrap="around" w:vAnchor="page" w:hAnchor="page" w:x="852" w:yAlign="bottom"/>
      <w:spacing w:after="180"/>
      <w:suppressOverlap/>
    </w:pPr>
    <w:rPr>
      <w:b/>
    </w:rPr>
  </w:style>
  <w:style w:type="table" w:customStyle="1" w:styleId="TransurbanTable">
    <w:name w:val="Transurban Table"/>
    <w:basedOn w:val="TableNormal"/>
    <w:uiPriority w:val="99"/>
    <w:rsid w:val="00022E12"/>
    <w:rPr>
      <w:rFonts w:ascii="Gotham Book" w:hAnsi="Gotham Book"/>
      <w:color w:val="FFFFFF" w:themeColor="background1"/>
      <w:sz w:val="16"/>
    </w:rPr>
    <w:tblPr>
      <w:tblInd w:w="108" w:type="dxa"/>
      <w:tblBorders>
        <w:insideH w:val="single" w:sz="18" w:space="0" w:color="FFFFFF" w:themeColor="background1"/>
        <w:insideV w:val="single" w:sz="18" w:space="0" w:color="FFFFFF" w:themeColor="background1"/>
      </w:tblBorders>
      <w:tblCellMar>
        <w:top w:w="0" w:type="dxa"/>
        <w:left w:w="108" w:type="dxa"/>
        <w:bottom w:w="0" w:type="dxa"/>
        <w:right w:w="108" w:type="dxa"/>
      </w:tblCellMar>
    </w:tblPr>
    <w:tcPr>
      <w:shd w:val="clear" w:color="auto" w:fill="4DA7A1"/>
    </w:tcPr>
    <w:tblStylePr w:type="firstRow">
      <w:rPr>
        <w:rFonts w:ascii="Gotham Medium" w:hAnsi="Gotham Medium"/>
        <w:sz w:val="16"/>
      </w:rPr>
      <w:tblPr/>
      <w:tcPr>
        <w:shd w:val="clear" w:color="auto" w:fill="008179"/>
      </w:tcPr>
    </w:tblStylePr>
    <w:tblStylePr w:type="firstCol">
      <w:rPr>
        <w:rFonts w:ascii="Gotham Medium" w:hAnsi="Gotham Medium"/>
        <w:color w:val="FFFFFF" w:themeColor="background1"/>
      </w:rPr>
      <w:tblPr/>
      <w:tcPr>
        <w:shd w:val="clear" w:color="auto" w:fill="008179"/>
      </w:tcPr>
    </w:tblStylePr>
  </w:style>
  <w:style w:type="paragraph" w:customStyle="1" w:styleId="Footnotes">
    <w:name w:val="Footnotes"/>
    <w:basedOn w:val="Normal"/>
    <w:uiPriority w:val="99"/>
    <w:rsid w:val="0014781B"/>
    <w:pPr>
      <w:suppressAutoHyphens/>
      <w:autoSpaceDE w:val="0"/>
      <w:autoSpaceDN w:val="0"/>
      <w:snapToGrid/>
      <w:spacing w:after="0" w:line="288" w:lineRule="auto"/>
      <w:ind w:left="227" w:hanging="227"/>
      <w:textAlignment w:val="center"/>
    </w:pPr>
    <w:rPr>
      <w:rFonts w:eastAsia="SimSun" w:cs="Gotham Book"/>
      <w:color w:val="000000"/>
      <w:sz w:val="16"/>
      <w:szCs w:val="16"/>
      <w:lang w:eastAsia="en-GB"/>
    </w:rPr>
  </w:style>
  <w:style w:type="paragraph" w:customStyle="1" w:styleId="SectionHeadingNonToC">
    <w:name w:val="Section Heading Non ToC"/>
    <w:basedOn w:val="SectionHeading"/>
    <w:qFormat/>
    <w:rsid w:val="00325A69"/>
    <w:pPr>
      <w:framePr w:wrap="around"/>
    </w:pPr>
  </w:style>
  <w:style w:type="paragraph" w:customStyle="1" w:styleId="BasicParagraph">
    <w:name w:val="[Basic Paragraph]"/>
    <w:basedOn w:val="Normal"/>
    <w:uiPriority w:val="99"/>
    <w:rsid w:val="00744FA1"/>
    <w:pPr>
      <w:autoSpaceDE w:val="0"/>
      <w:autoSpaceDN w:val="0"/>
      <w:snapToGrid/>
      <w:spacing w:after="0" w:line="288" w:lineRule="auto"/>
      <w:textAlignment w:val="center"/>
    </w:pPr>
    <w:rPr>
      <w:rFonts w:ascii="Times Regular" w:eastAsia="SimSun" w:hAnsi="Times Regular" w:cs="Times Regular"/>
      <w:color w:val="000000"/>
      <w:sz w:val="24"/>
      <w:szCs w:val="24"/>
      <w:lang w:val="en-US" w:eastAsia="en-GB"/>
    </w:rPr>
  </w:style>
  <w:style w:type="paragraph" w:customStyle="1" w:styleId="Heading1NonToC">
    <w:name w:val="Heading 1 Non ToC"/>
    <w:basedOn w:val="Heading1"/>
    <w:qFormat/>
    <w:rsid w:val="004F70AB"/>
  </w:style>
  <w:style w:type="character" w:customStyle="1" w:styleId="A8">
    <w:name w:val="A8"/>
    <w:uiPriority w:val="99"/>
    <w:rsid w:val="00744FA1"/>
    <w:rPr>
      <w:rFonts w:cs="Gotham Light"/>
      <w:color w:val="FFFF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C9D5BB1FD0C435AB4F6D09A430FB637"/>
        <w:category>
          <w:name w:val="General"/>
          <w:gallery w:val="placeholder"/>
        </w:category>
        <w:types>
          <w:type w:val="bbPlcHdr"/>
        </w:types>
        <w:behaviors>
          <w:behavior w:val="content"/>
        </w:behaviors>
        <w:guid w:val="{5975BB14-3C01-4206-9725-711FFC05A1C9}"/>
      </w:docPartPr>
      <w:docPartBody>
        <w:p w:rsidR="008E1A3A" w:rsidRDefault="008E1A3A">
          <w:pPr>
            <w:pStyle w:val="1C9D5BB1FD0C435AB4F6D09A430FB637"/>
          </w:pPr>
          <w:r w:rsidRPr="006F110A">
            <w:rPr>
              <w:rStyle w:val="PlaceholderText"/>
              <w:rFonts w:eastAsia="SimSun"/>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otham Book">
    <w:altName w:val="Arial"/>
    <w:panose1 w:val="00000000000000000000"/>
    <w:charset w:val="00"/>
    <w:family w:val="modern"/>
    <w:notTrueType/>
    <w:pitch w:val="variable"/>
    <w:sig w:usb0="00000001" w:usb1="4000005B" w:usb2="00000000" w:usb3="00000000" w:csb0="0000009B" w:csb1="00000000"/>
  </w:font>
  <w:font w:name="Gotham Medium">
    <w:altName w:val="Arial"/>
    <w:panose1 w:val="00000000000000000000"/>
    <w:charset w:val="00"/>
    <w:family w:val="modern"/>
    <w:notTrueType/>
    <w:pitch w:val="variable"/>
    <w:sig w:usb0="00000001" w:usb1="4000005B" w:usb2="00000000" w:usb3="00000000" w:csb0="0000009B" w:csb1="00000000"/>
  </w:font>
  <w:font w:name="Consolas">
    <w:panose1 w:val="020B0609020204030204"/>
    <w:charset w:val="00"/>
    <w:family w:val="modern"/>
    <w:pitch w:val="fixed"/>
    <w:sig w:usb0="E10002FF" w:usb1="4000FCFF" w:usb2="00000009" w:usb3="00000000" w:csb0="0000019F" w:csb1="00000000"/>
  </w:font>
  <w:font w:name="Times Regular">
    <w:panose1 w:val="00000000000000000000"/>
    <w:charset w:val="00"/>
    <w:family w:val="auto"/>
    <w:notTrueType/>
    <w:pitch w:val="default"/>
    <w:sig w:usb0="00000003" w:usb1="00000000" w:usb2="00000000" w:usb3="00000000" w:csb0="00000001" w:csb1="00000000"/>
  </w:font>
  <w:font w:name="Gotham Light">
    <w:altName w:val="Gotham Light"/>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A3A"/>
    <w:rsid w:val="006B6FFE"/>
    <w:rsid w:val="008E1A3A"/>
    <w:rsid w:val="00955AE7"/>
    <w:rsid w:val="009A4962"/>
    <w:rsid w:val="00F31397"/>
    <w:rsid w:val="00FE28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11"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1"/>
    <w:semiHidden/>
    <w:rPr>
      <w:rFonts w:asciiTheme="minorHAnsi" w:hAnsiTheme="minorHAnsi" w:cstheme="minorHAnsi"/>
      <w:color w:val="808080"/>
    </w:rPr>
  </w:style>
  <w:style w:type="paragraph" w:customStyle="1" w:styleId="1C9D5BB1FD0C435AB4F6D09A430FB637">
    <w:name w:val="1C9D5BB1FD0C435AB4F6D09A430FB6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11"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1"/>
    <w:semiHidden/>
    <w:rPr>
      <w:rFonts w:asciiTheme="minorHAnsi" w:hAnsiTheme="minorHAnsi" w:cstheme="minorHAnsi"/>
      <w:color w:val="808080"/>
    </w:rPr>
  </w:style>
  <w:style w:type="paragraph" w:customStyle="1" w:styleId="1C9D5BB1FD0C435AB4F6D09A430FB637">
    <w:name w:val="1C9D5BB1FD0C435AB4F6D09A430FB6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NSW Government Colours">
      <a:dk1>
        <a:sysClr val="windowText" lastClr="000000"/>
      </a:dk1>
      <a:lt1>
        <a:sysClr val="window" lastClr="FFFFFF"/>
      </a:lt1>
      <a:dk2>
        <a:srgbClr val="2C2A29"/>
      </a:dk2>
      <a:lt2>
        <a:srgbClr val="15397F"/>
      </a:lt2>
      <a:accent1>
        <a:srgbClr val="00A5D4"/>
      </a:accent1>
      <a:accent2>
        <a:srgbClr val="F3C42C"/>
      </a:accent2>
      <a:accent3>
        <a:srgbClr val="16AB9B"/>
      </a:accent3>
      <a:accent4>
        <a:srgbClr val="675890"/>
      </a:accent4>
      <a:accent5>
        <a:srgbClr val="9C7761"/>
      </a:accent5>
      <a:accent6>
        <a:srgbClr val="AD123C"/>
      </a:accent6>
      <a:hlink>
        <a:srgbClr val="15397F"/>
      </a:hlink>
      <a:folHlink>
        <a:srgbClr val="675890"/>
      </a:folHlink>
    </a:clrScheme>
    <a:fontScheme name="Custom 20">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8D764-1730-4491-A360-2899335E0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10164</Words>
  <Characters>54703</Characters>
  <Application>Microsoft Office Word</Application>
  <DocSecurity>4</DocSecurity>
  <Lines>455</Lines>
  <Paragraphs>129</Paragraphs>
  <ScaleCrop>false</ScaleCrop>
  <HeadingPairs>
    <vt:vector size="2" baseType="variant">
      <vt:variant>
        <vt:lpstr>Title</vt:lpstr>
      </vt:variant>
      <vt:variant>
        <vt:i4>1</vt:i4>
      </vt:variant>
    </vt:vector>
  </HeadingPairs>
  <TitlesOfParts>
    <vt:vector size="1" baseType="lpstr">
      <vt:lpstr/>
    </vt:vector>
  </TitlesOfParts>
  <Company>SIRA</Company>
  <LinksUpToDate>false</LinksUpToDate>
  <CharactersWithSpaces>64738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Johnston, Janine</cp:lastModifiedBy>
  <cp:revision>2</cp:revision>
  <cp:lastPrinted>2016-03-22T05:41:00Z</cp:lastPrinted>
  <dcterms:created xsi:type="dcterms:W3CDTF">2016-04-18T00:37:00Z</dcterms:created>
  <dcterms:modified xsi:type="dcterms:W3CDTF">2016-04-18T00:37:00Z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itle">
    <vt:lpwstr>ReportTitle</vt:lpwstr>
  </property>
  <property fmtid="{D5CDD505-2E9C-101B-9397-08002B2CF9AE}" pid="3" name="CoverHeading">
    <vt:lpwstr>Cover Heading</vt:lpwstr>
  </property>
  <property fmtid="{D5CDD505-2E9C-101B-9397-08002B2CF9AE}" pid="4" name="CoverSubheading">
    <vt:lpwstr>Cover Subheading</vt:lpwstr>
  </property>
  <property fmtid="{D5CDD505-2E9C-101B-9397-08002B2CF9AE}" pid="5" name="CoverDate">
    <vt:lpwstr>dd mmmm yyyy</vt:lpwstr>
  </property>
</Properties>
</file>